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0B" w:rsidRDefault="009C110E" w:rsidP="00F4050B">
      <w:pPr>
        <w:spacing w:line="240" w:lineRule="auto"/>
        <w:jc w:val="center"/>
        <w:rPr>
          <w:rFonts w:ascii="Arial" w:eastAsia="Arial Unicode MS" w:hAnsi="Arial" w:cs="Arial"/>
          <w:b/>
          <w:sz w:val="24"/>
          <w:szCs w:val="24"/>
        </w:rPr>
      </w:pPr>
      <w:r>
        <w:rPr>
          <w:rFonts w:ascii="Arial" w:eastAsia="Arial Unicode MS" w:hAnsi="Arial" w:cs="Arial"/>
          <w:b/>
          <w:sz w:val="24"/>
          <w:szCs w:val="24"/>
        </w:rPr>
        <w:t xml:space="preserve">         </w:t>
      </w:r>
      <w:r w:rsidR="00F4050B">
        <w:rPr>
          <w:rFonts w:ascii="Arial" w:eastAsia="Arial Unicode MS" w:hAnsi="Arial" w:cs="Arial"/>
          <w:b/>
          <w:sz w:val="24"/>
          <w:szCs w:val="24"/>
        </w:rPr>
        <w:t>REPUBLIQUE DU NIGER</w:t>
      </w:r>
    </w:p>
    <w:p w:rsidR="00F4050B" w:rsidRPr="001442E1" w:rsidRDefault="00F4050B" w:rsidP="00F4050B">
      <w:pPr>
        <w:spacing w:line="240" w:lineRule="auto"/>
        <w:jc w:val="center"/>
        <w:rPr>
          <w:rFonts w:ascii="Arial" w:eastAsia="Arial Unicode MS" w:hAnsi="Arial" w:cs="Arial"/>
          <w:b/>
          <w:sz w:val="24"/>
          <w:szCs w:val="24"/>
        </w:rPr>
      </w:pPr>
      <w:r w:rsidRPr="001442E1">
        <w:rPr>
          <w:rFonts w:ascii="Arial" w:eastAsia="Arial Unicode MS" w:hAnsi="Arial" w:cs="Arial"/>
          <w:b/>
          <w:sz w:val="24"/>
          <w:szCs w:val="24"/>
        </w:rPr>
        <w:t>COUR D’APPEL DE NIAMEY</w:t>
      </w:r>
    </w:p>
    <w:p w:rsidR="00F4050B" w:rsidRDefault="00F4050B" w:rsidP="00F4050B">
      <w:pPr>
        <w:spacing w:line="240" w:lineRule="auto"/>
        <w:jc w:val="center"/>
        <w:rPr>
          <w:rFonts w:ascii="Arial" w:eastAsia="Arial Unicode MS" w:hAnsi="Arial" w:cs="Arial"/>
          <w:b/>
          <w:sz w:val="24"/>
          <w:szCs w:val="24"/>
        </w:rPr>
      </w:pPr>
      <w:r>
        <w:rPr>
          <w:rFonts w:ascii="Arial" w:eastAsia="Arial Unicode MS" w:hAnsi="Arial" w:cs="Arial"/>
          <w:b/>
          <w:sz w:val="24"/>
          <w:szCs w:val="24"/>
        </w:rPr>
        <w:t>TRIBUNAL DE COMMERCE DE NIAMEY</w:t>
      </w:r>
    </w:p>
    <w:p w:rsidR="00F4050B" w:rsidRPr="00492682" w:rsidRDefault="00F4050B" w:rsidP="00F4050B">
      <w:pPr>
        <w:spacing w:line="240" w:lineRule="auto"/>
        <w:jc w:val="center"/>
        <w:rPr>
          <w:rFonts w:ascii="Arial" w:eastAsia="Arial Unicode MS" w:hAnsi="Arial" w:cs="Arial"/>
          <w:b/>
          <w:sz w:val="24"/>
          <w:szCs w:val="24"/>
        </w:rPr>
      </w:pPr>
    </w:p>
    <w:tbl>
      <w:tblPr>
        <w:tblW w:w="10065" w:type="dxa"/>
        <w:tblInd w:w="-318" w:type="dxa"/>
        <w:tblBorders>
          <w:insideH w:val="single" w:sz="4" w:space="0" w:color="000000"/>
          <w:insideV w:val="single" w:sz="4" w:space="0" w:color="000000"/>
        </w:tblBorders>
        <w:tblLook w:val="04A0" w:firstRow="1" w:lastRow="0" w:firstColumn="1" w:lastColumn="0" w:noHBand="0" w:noVBand="1"/>
      </w:tblPr>
      <w:tblGrid>
        <w:gridCol w:w="3120"/>
        <w:gridCol w:w="6945"/>
      </w:tblGrid>
      <w:tr w:rsidR="00F4050B" w:rsidRPr="00376F5F" w:rsidTr="00691EC3">
        <w:tc>
          <w:tcPr>
            <w:tcW w:w="3120" w:type="dxa"/>
            <w:tcBorders>
              <w:top w:val="nil"/>
              <w:left w:val="nil"/>
              <w:bottom w:val="nil"/>
              <w:right w:val="single" w:sz="4" w:space="0" w:color="000000"/>
            </w:tcBorders>
          </w:tcPr>
          <w:p w:rsidR="00F4050B" w:rsidRPr="00376F5F" w:rsidRDefault="00F4050B" w:rsidP="00691EC3">
            <w:pPr>
              <w:spacing w:line="240" w:lineRule="auto"/>
              <w:jc w:val="center"/>
              <w:rPr>
                <w:rFonts w:ascii="Arial" w:eastAsia="Arial Unicode MS" w:hAnsi="Arial" w:cs="Arial"/>
                <w:b/>
                <w:sz w:val="24"/>
                <w:szCs w:val="24"/>
              </w:rPr>
            </w:pPr>
            <w:r w:rsidRPr="00376F5F">
              <w:rPr>
                <w:rFonts w:ascii="Arial" w:eastAsia="Arial Unicode MS" w:hAnsi="Arial" w:cs="Arial"/>
                <w:b/>
                <w:sz w:val="24"/>
                <w:szCs w:val="24"/>
              </w:rPr>
              <w:t>___________________</w:t>
            </w:r>
          </w:p>
          <w:p w:rsidR="00F4050B" w:rsidRPr="00376F5F" w:rsidRDefault="00F4050B" w:rsidP="00691EC3">
            <w:pPr>
              <w:spacing w:line="240" w:lineRule="auto"/>
              <w:jc w:val="center"/>
              <w:rPr>
                <w:rFonts w:ascii="Arial" w:eastAsia="Arial Unicode MS" w:hAnsi="Arial" w:cs="Arial"/>
                <w:b/>
                <w:sz w:val="24"/>
                <w:szCs w:val="24"/>
              </w:rPr>
            </w:pPr>
            <w:r w:rsidRPr="00376F5F">
              <w:rPr>
                <w:rFonts w:ascii="Arial" w:eastAsia="Arial Unicode MS" w:hAnsi="Arial" w:cs="Arial"/>
                <w:b/>
                <w:sz w:val="24"/>
                <w:szCs w:val="24"/>
              </w:rPr>
              <w:t xml:space="preserve">JUGEMENT COMMERCIAL </w:t>
            </w:r>
            <w:r>
              <w:rPr>
                <w:rFonts w:ascii="Arial" w:eastAsia="Arial Unicode MS" w:hAnsi="Arial" w:cs="Arial"/>
                <w:b/>
                <w:color w:val="000000" w:themeColor="text1"/>
                <w:sz w:val="24"/>
                <w:szCs w:val="24"/>
              </w:rPr>
              <w:t>N°12</w:t>
            </w:r>
            <w:r w:rsidRPr="00376F5F">
              <w:rPr>
                <w:rFonts w:ascii="Arial" w:eastAsia="Arial Unicode MS" w:hAnsi="Arial" w:cs="Arial"/>
                <w:b/>
                <w:color w:val="000000" w:themeColor="text1"/>
                <w:sz w:val="24"/>
                <w:szCs w:val="24"/>
              </w:rPr>
              <w:t>7</w:t>
            </w:r>
            <w:r w:rsidRPr="00376F5F">
              <w:rPr>
                <w:rFonts w:ascii="Arial" w:eastAsia="Arial Unicode MS" w:hAnsi="Arial" w:cs="Arial"/>
                <w:b/>
                <w:sz w:val="24"/>
                <w:szCs w:val="24"/>
              </w:rPr>
              <w:t xml:space="preserve"> du </w:t>
            </w:r>
            <w:r>
              <w:rPr>
                <w:rFonts w:ascii="Arial" w:eastAsia="Arial Unicode MS" w:hAnsi="Arial" w:cs="Arial"/>
                <w:b/>
                <w:sz w:val="24"/>
                <w:szCs w:val="24"/>
              </w:rPr>
              <w:t>07</w:t>
            </w:r>
            <w:r w:rsidRPr="00376F5F">
              <w:rPr>
                <w:rFonts w:ascii="Arial" w:eastAsia="Arial Unicode MS" w:hAnsi="Arial" w:cs="Arial"/>
                <w:b/>
                <w:sz w:val="24"/>
                <w:szCs w:val="24"/>
              </w:rPr>
              <w:t>/</w:t>
            </w:r>
            <w:r>
              <w:rPr>
                <w:rFonts w:ascii="Arial" w:eastAsia="Arial Unicode MS" w:hAnsi="Arial" w:cs="Arial"/>
                <w:b/>
                <w:sz w:val="24"/>
                <w:szCs w:val="24"/>
              </w:rPr>
              <w:t>11</w:t>
            </w:r>
            <w:r w:rsidRPr="00376F5F">
              <w:rPr>
                <w:rFonts w:ascii="Arial" w:eastAsia="Arial Unicode MS" w:hAnsi="Arial" w:cs="Arial"/>
                <w:b/>
                <w:sz w:val="24"/>
                <w:szCs w:val="24"/>
              </w:rPr>
              <w:t>/2017</w:t>
            </w:r>
          </w:p>
          <w:p w:rsidR="00F4050B" w:rsidRPr="00376F5F" w:rsidRDefault="00F4050B" w:rsidP="00691EC3">
            <w:pPr>
              <w:spacing w:line="240" w:lineRule="auto"/>
              <w:rPr>
                <w:rFonts w:ascii="Arial" w:eastAsia="Arial Unicode MS" w:hAnsi="Arial" w:cs="Arial"/>
                <w:b/>
                <w:sz w:val="24"/>
                <w:szCs w:val="24"/>
              </w:rPr>
            </w:pPr>
            <w:r w:rsidRPr="00376F5F">
              <w:rPr>
                <w:rFonts w:ascii="Arial" w:eastAsia="Arial Unicode MS" w:hAnsi="Arial" w:cs="Arial"/>
                <w:b/>
                <w:sz w:val="24"/>
                <w:szCs w:val="24"/>
              </w:rPr>
              <w:t xml:space="preserve">   CONTRADICTOIRE</w:t>
            </w:r>
          </w:p>
          <w:p w:rsidR="00F4050B" w:rsidRPr="00376F5F" w:rsidRDefault="00F4050B" w:rsidP="00691EC3">
            <w:pPr>
              <w:spacing w:line="240" w:lineRule="auto"/>
              <w:rPr>
                <w:rFonts w:ascii="Arial" w:eastAsia="Arial Unicode MS" w:hAnsi="Arial" w:cs="Arial"/>
                <w:b/>
                <w:sz w:val="24"/>
                <w:szCs w:val="24"/>
              </w:rPr>
            </w:pPr>
          </w:p>
          <w:p w:rsidR="00F4050B" w:rsidRPr="00376F5F" w:rsidRDefault="00F4050B" w:rsidP="00691EC3">
            <w:pPr>
              <w:spacing w:line="240" w:lineRule="auto"/>
              <w:rPr>
                <w:rFonts w:ascii="Arial" w:eastAsia="Arial Unicode MS" w:hAnsi="Arial" w:cs="Arial"/>
                <w:b/>
                <w:sz w:val="24"/>
                <w:szCs w:val="24"/>
                <w:u w:val="single"/>
              </w:rPr>
            </w:pPr>
            <w:r w:rsidRPr="00376F5F">
              <w:rPr>
                <w:rFonts w:ascii="Arial" w:eastAsia="Arial Unicode MS" w:hAnsi="Arial" w:cs="Arial"/>
                <w:b/>
                <w:sz w:val="24"/>
                <w:szCs w:val="24"/>
                <w:u w:val="single"/>
              </w:rPr>
              <w:t>AFFAIRE</w:t>
            </w:r>
            <w:r w:rsidRPr="00376F5F">
              <w:rPr>
                <w:rFonts w:ascii="Arial" w:eastAsia="Arial Unicode MS" w:hAnsi="Arial" w:cs="Arial"/>
                <w:b/>
                <w:sz w:val="24"/>
                <w:szCs w:val="24"/>
              </w:rPr>
              <w:t> :</w:t>
            </w:r>
          </w:p>
          <w:p w:rsidR="00F4050B" w:rsidRPr="00376F5F" w:rsidRDefault="00F4050B" w:rsidP="00691EC3">
            <w:pPr>
              <w:spacing w:line="240" w:lineRule="auto"/>
              <w:rPr>
                <w:rFonts w:ascii="Arial" w:eastAsia="Arial Unicode MS" w:hAnsi="Arial" w:cs="Arial"/>
                <w:b/>
                <w:sz w:val="24"/>
                <w:szCs w:val="24"/>
                <w:u w:val="single"/>
              </w:rPr>
            </w:pPr>
          </w:p>
          <w:p w:rsidR="00F4050B" w:rsidRPr="00376F5F" w:rsidRDefault="00DF3273" w:rsidP="00691EC3">
            <w:pPr>
              <w:spacing w:line="240" w:lineRule="auto"/>
              <w:rPr>
                <w:rFonts w:ascii="Arial" w:eastAsia="Arial Unicode MS" w:hAnsi="Arial" w:cs="Arial"/>
                <w:b/>
                <w:sz w:val="24"/>
                <w:szCs w:val="24"/>
              </w:rPr>
            </w:pPr>
            <w:r>
              <w:rPr>
                <w:rFonts w:ascii="Arial" w:hAnsi="Arial" w:cs="Arial"/>
                <w:b/>
                <w:sz w:val="24"/>
                <w:szCs w:val="24"/>
              </w:rPr>
              <w:t>ETABLISSEMENTS IBRAHIM ALASSANE</w:t>
            </w:r>
          </w:p>
          <w:p w:rsidR="00F4050B" w:rsidRPr="00376F5F" w:rsidRDefault="00F4050B" w:rsidP="00691EC3">
            <w:pPr>
              <w:spacing w:line="240" w:lineRule="auto"/>
              <w:rPr>
                <w:rFonts w:ascii="Arial" w:eastAsia="Arial Unicode MS" w:hAnsi="Arial" w:cs="Arial"/>
                <w:b/>
                <w:sz w:val="24"/>
                <w:szCs w:val="24"/>
              </w:rPr>
            </w:pPr>
            <w:r w:rsidRPr="00376F5F">
              <w:rPr>
                <w:rFonts w:ascii="Arial" w:eastAsia="Arial Unicode MS" w:hAnsi="Arial" w:cs="Arial"/>
                <w:b/>
                <w:sz w:val="24"/>
                <w:szCs w:val="24"/>
              </w:rPr>
              <w:t xml:space="preserve">                C/</w:t>
            </w:r>
          </w:p>
          <w:p w:rsidR="00F4050B" w:rsidRPr="00376F5F" w:rsidRDefault="00CA7ECC" w:rsidP="00691EC3">
            <w:pPr>
              <w:rPr>
                <w:rFonts w:ascii="Arial" w:eastAsia="Arial Unicode MS" w:hAnsi="Arial" w:cs="Arial"/>
                <w:b/>
                <w:sz w:val="24"/>
                <w:szCs w:val="24"/>
              </w:rPr>
            </w:pPr>
            <w:r>
              <w:rPr>
                <w:rFonts w:ascii="Arial" w:eastAsia="Arial Unicode MS" w:hAnsi="Arial" w:cs="Arial"/>
                <w:b/>
                <w:sz w:val="24"/>
                <w:szCs w:val="24"/>
              </w:rPr>
              <w:t>BANQUE ATLANTIQUE DU NIGER</w:t>
            </w:r>
          </w:p>
        </w:tc>
        <w:tc>
          <w:tcPr>
            <w:tcW w:w="6945" w:type="dxa"/>
            <w:tcBorders>
              <w:top w:val="nil"/>
              <w:left w:val="single" w:sz="4" w:space="0" w:color="000000"/>
              <w:bottom w:val="nil"/>
              <w:right w:val="nil"/>
            </w:tcBorders>
            <w:hideMark/>
          </w:tcPr>
          <w:p w:rsidR="00F4050B" w:rsidRPr="00376F5F" w:rsidRDefault="00F4050B" w:rsidP="00691EC3">
            <w:pPr>
              <w:spacing w:line="240" w:lineRule="auto"/>
              <w:jc w:val="both"/>
              <w:rPr>
                <w:rFonts w:ascii="Arial" w:eastAsia="Arial Unicode MS" w:hAnsi="Arial" w:cs="Arial"/>
                <w:b/>
                <w:sz w:val="24"/>
                <w:szCs w:val="24"/>
                <w:u w:val="single"/>
              </w:rPr>
            </w:pPr>
            <w:r w:rsidRPr="00376F5F">
              <w:rPr>
                <w:rFonts w:ascii="Arial" w:eastAsia="Arial Unicode MS" w:hAnsi="Arial" w:cs="Arial"/>
                <w:b/>
                <w:sz w:val="24"/>
                <w:szCs w:val="24"/>
                <w:u w:val="single"/>
              </w:rPr>
              <w:t xml:space="preserve">AUDIENCE PUBLIQUE ORDINAIRE DU </w:t>
            </w:r>
            <w:r w:rsidR="00FC49ED">
              <w:rPr>
                <w:rFonts w:ascii="Arial" w:eastAsia="Arial Unicode MS" w:hAnsi="Arial" w:cs="Arial"/>
                <w:b/>
                <w:sz w:val="24"/>
                <w:szCs w:val="24"/>
                <w:u w:val="single"/>
              </w:rPr>
              <w:t>07 NOVEMBRE</w:t>
            </w:r>
            <w:r w:rsidRPr="00376F5F">
              <w:rPr>
                <w:rFonts w:ascii="Arial" w:eastAsia="Arial Unicode MS" w:hAnsi="Arial" w:cs="Arial"/>
                <w:b/>
                <w:sz w:val="24"/>
                <w:szCs w:val="24"/>
                <w:u w:val="single"/>
              </w:rPr>
              <w:t xml:space="preserve"> 2017</w:t>
            </w:r>
          </w:p>
          <w:p w:rsidR="00F4050B" w:rsidRPr="00376F5F" w:rsidRDefault="00F4050B" w:rsidP="00691EC3">
            <w:pPr>
              <w:jc w:val="both"/>
              <w:rPr>
                <w:rFonts w:ascii="Arial" w:hAnsi="Arial" w:cs="Arial"/>
                <w:sz w:val="24"/>
                <w:szCs w:val="24"/>
              </w:rPr>
            </w:pPr>
            <w:r w:rsidRPr="00376F5F">
              <w:rPr>
                <w:rFonts w:ascii="Arial" w:hAnsi="Arial" w:cs="Arial"/>
                <w:sz w:val="24"/>
                <w:szCs w:val="24"/>
              </w:rPr>
              <w:t xml:space="preserve">                Le Tribunal de Commerce de Niamey en son audience publique ordinaire du </w:t>
            </w:r>
            <w:r w:rsidR="00FE3BA0">
              <w:rPr>
                <w:rFonts w:ascii="Arial" w:hAnsi="Arial" w:cs="Arial"/>
                <w:sz w:val="24"/>
                <w:szCs w:val="24"/>
              </w:rPr>
              <w:t>Sept Novembre</w:t>
            </w:r>
            <w:r w:rsidRPr="00376F5F">
              <w:rPr>
                <w:rFonts w:ascii="Arial" w:hAnsi="Arial" w:cs="Arial"/>
                <w:sz w:val="24"/>
                <w:szCs w:val="24"/>
              </w:rPr>
              <w:t xml:space="preserve"> deux mil  dix sept, statuant en matière commerciale tenue par Monsieur </w:t>
            </w:r>
            <w:r w:rsidRPr="00376F5F">
              <w:rPr>
                <w:rFonts w:ascii="Arial" w:hAnsi="Arial" w:cs="Arial"/>
                <w:b/>
                <w:sz w:val="24"/>
                <w:szCs w:val="24"/>
              </w:rPr>
              <w:t>RABIOU ADAMOU</w:t>
            </w:r>
            <w:r w:rsidRPr="00376F5F">
              <w:rPr>
                <w:rFonts w:ascii="Arial" w:hAnsi="Arial" w:cs="Arial"/>
                <w:sz w:val="24"/>
                <w:szCs w:val="24"/>
              </w:rPr>
              <w:t>, Président de la 3</w:t>
            </w:r>
            <w:r w:rsidRPr="00376F5F">
              <w:rPr>
                <w:rFonts w:ascii="Arial" w:hAnsi="Arial" w:cs="Arial"/>
                <w:sz w:val="24"/>
                <w:szCs w:val="24"/>
                <w:vertAlign w:val="superscript"/>
              </w:rPr>
              <w:t>ème</w:t>
            </w:r>
            <w:r w:rsidRPr="00376F5F">
              <w:rPr>
                <w:rFonts w:ascii="Arial" w:hAnsi="Arial" w:cs="Arial"/>
                <w:sz w:val="24"/>
                <w:szCs w:val="24"/>
              </w:rPr>
              <w:t xml:space="preserve"> chambre; </w:t>
            </w:r>
            <w:r w:rsidRPr="00376F5F">
              <w:rPr>
                <w:rFonts w:ascii="Arial" w:hAnsi="Arial" w:cs="Arial"/>
                <w:b/>
                <w:sz w:val="24"/>
                <w:szCs w:val="24"/>
                <w:u w:val="single"/>
              </w:rPr>
              <w:t>Président</w:t>
            </w:r>
            <w:r w:rsidRPr="00376F5F">
              <w:rPr>
                <w:rFonts w:ascii="Arial" w:hAnsi="Arial" w:cs="Arial"/>
                <w:sz w:val="24"/>
                <w:szCs w:val="24"/>
              </w:rPr>
              <w:t xml:space="preserve">, en présence de Messieurs </w:t>
            </w:r>
            <w:r w:rsidRPr="00376F5F">
              <w:rPr>
                <w:rFonts w:ascii="Arial" w:hAnsi="Arial" w:cs="Arial"/>
                <w:b/>
                <w:sz w:val="24"/>
                <w:szCs w:val="24"/>
              </w:rPr>
              <w:t xml:space="preserve">IBBA HAMED </w:t>
            </w:r>
            <w:r w:rsidRPr="00376F5F">
              <w:rPr>
                <w:rFonts w:ascii="Arial" w:hAnsi="Arial" w:cs="Arial"/>
                <w:sz w:val="24"/>
                <w:szCs w:val="24"/>
              </w:rPr>
              <w:t>et</w:t>
            </w:r>
            <w:r w:rsidRPr="00376F5F">
              <w:rPr>
                <w:rFonts w:ascii="Arial" w:hAnsi="Arial" w:cs="Arial"/>
                <w:b/>
                <w:sz w:val="24"/>
                <w:szCs w:val="24"/>
              </w:rPr>
              <w:t xml:space="preserve"> SAHABI YAZI, </w:t>
            </w:r>
            <w:r w:rsidRPr="00376F5F">
              <w:rPr>
                <w:rFonts w:ascii="Arial" w:hAnsi="Arial" w:cs="Arial"/>
                <w:sz w:val="24"/>
                <w:szCs w:val="24"/>
              </w:rPr>
              <w:t xml:space="preserve">tous deux juges consulaires avec voix délibératives ; avec l’assistance de Maitre </w:t>
            </w:r>
            <w:r w:rsidRPr="00376F5F">
              <w:rPr>
                <w:rFonts w:ascii="Arial" w:hAnsi="Arial" w:cs="Arial"/>
                <w:b/>
                <w:sz w:val="24"/>
                <w:szCs w:val="24"/>
              </w:rPr>
              <w:t>SIDDO BOUREIMA</w:t>
            </w:r>
            <w:r w:rsidRPr="00376F5F">
              <w:rPr>
                <w:rFonts w:ascii="Arial" w:hAnsi="Arial" w:cs="Arial"/>
                <w:sz w:val="24"/>
                <w:szCs w:val="24"/>
              </w:rPr>
              <w:t xml:space="preserve">, </w:t>
            </w:r>
            <w:r w:rsidRPr="00376F5F">
              <w:rPr>
                <w:rFonts w:ascii="Arial" w:hAnsi="Arial" w:cs="Arial"/>
                <w:b/>
                <w:sz w:val="24"/>
                <w:szCs w:val="24"/>
                <w:u w:val="single"/>
              </w:rPr>
              <w:t>Greffier</w:t>
            </w:r>
            <w:r w:rsidRPr="00376F5F">
              <w:rPr>
                <w:rFonts w:ascii="Arial" w:hAnsi="Arial" w:cs="Arial"/>
                <w:b/>
                <w:sz w:val="24"/>
                <w:szCs w:val="24"/>
              </w:rPr>
              <w:t xml:space="preserve">, </w:t>
            </w:r>
            <w:r w:rsidRPr="00376F5F">
              <w:rPr>
                <w:rFonts w:ascii="Arial" w:hAnsi="Arial" w:cs="Arial"/>
                <w:sz w:val="24"/>
                <w:szCs w:val="24"/>
              </w:rPr>
              <w:t>a rendu le jugement dont la teneur suit :</w:t>
            </w:r>
          </w:p>
          <w:p w:rsidR="00F4050B" w:rsidRPr="00376F5F" w:rsidRDefault="00F4050B" w:rsidP="00691EC3">
            <w:pPr>
              <w:jc w:val="both"/>
              <w:rPr>
                <w:rFonts w:ascii="Arial" w:hAnsi="Arial" w:cs="Arial"/>
                <w:sz w:val="24"/>
                <w:szCs w:val="24"/>
              </w:rPr>
            </w:pPr>
            <w:r w:rsidRPr="00376F5F">
              <w:rPr>
                <w:rFonts w:ascii="Arial" w:hAnsi="Arial" w:cs="Arial"/>
                <w:b/>
                <w:sz w:val="24"/>
                <w:szCs w:val="24"/>
              </w:rPr>
              <w:t>ENTRE</w:t>
            </w:r>
          </w:p>
          <w:p w:rsidR="00F4050B" w:rsidRPr="0019086E" w:rsidRDefault="00DF3273" w:rsidP="00691EC3">
            <w:pPr>
              <w:spacing w:line="240" w:lineRule="auto"/>
              <w:rPr>
                <w:rFonts w:ascii="Arial" w:hAnsi="Arial" w:cs="Arial"/>
                <w:sz w:val="24"/>
                <w:szCs w:val="24"/>
                <w:u w:val="single"/>
              </w:rPr>
            </w:pPr>
            <w:r w:rsidRPr="00DB37C7">
              <w:rPr>
                <w:rFonts w:ascii="Arial" w:hAnsi="Arial" w:cs="Arial"/>
                <w:b/>
                <w:sz w:val="24"/>
                <w:szCs w:val="24"/>
                <w:u w:val="single"/>
              </w:rPr>
              <w:t>ETABLISSEMENTS IBRAHIM ALASSANE</w:t>
            </w:r>
            <w:r>
              <w:rPr>
                <w:rFonts w:ascii="Arial" w:hAnsi="Arial" w:cs="Arial"/>
                <w:b/>
                <w:sz w:val="24"/>
                <w:szCs w:val="24"/>
              </w:rPr>
              <w:t xml:space="preserve">, </w:t>
            </w:r>
            <w:r w:rsidRPr="0019086E">
              <w:rPr>
                <w:rFonts w:ascii="Arial" w:hAnsi="Arial" w:cs="Arial"/>
                <w:sz w:val="24"/>
                <w:szCs w:val="24"/>
              </w:rPr>
              <w:t xml:space="preserve">Entreprise individuelle, ayant son siège à Konni, représentés par Ibrahim Alassane, commerçant demeurant à Konni, assisté de Maître Moussa Souleymane et de Alidou Adam, tous deux avocats à la </w:t>
            </w:r>
            <w:r w:rsidR="00DB37C7" w:rsidRPr="0019086E">
              <w:rPr>
                <w:rFonts w:ascii="Arial" w:hAnsi="Arial" w:cs="Arial"/>
                <w:sz w:val="24"/>
                <w:szCs w:val="24"/>
              </w:rPr>
              <w:t>Cour,</w:t>
            </w:r>
            <w:r w:rsidR="00000E6E">
              <w:rPr>
                <w:rFonts w:ascii="Arial" w:hAnsi="Arial" w:cs="Arial"/>
                <w:sz w:val="24"/>
                <w:szCs w:val="24"/>
              </w:rPr>
              <w:t xml:space="preserve"> BP : 11.357 Niamey, BP : 10.710</w:t>
            </w:r>
            <w:r w:rsidRPr="0019086E">
              <w:rPr>
                <w:rFonts w:ascii="Arial" w:hAnsi="Arial" w:cs="Arial"/>
                <w:sz w:val="24"/>
                <w:szCs w:val="24"/>
              </w:rPr>
              <w:t>;</w:t>
            </w:r>
          </w:p>
          <w:p w:rsidR="00F4050B" w:rsidRPr="00376F5F" w:rsidRDefault="00F4050B" w:rsidP="00691EC3">
            <w:pPr>
              <w:spacing w:line="240" w:lineRule="auto"/>
              <w:rPr>
                <w:rFonts w:ascii="Arial" w:hAnsi="Arial" w:cs="Arial"/>
                <w:b/>
                <w:sz w:val="24"/>
                <w:szCs w:val="24"/>
                <w:u w:val="single"/>
              </w:rPr>
            </w:pPr>
            <w:r w:rsidRPr="00376F5F">
              <w:rPr>
                <w:rFonts w:ascii="Arial" w:hAnsi="Arial" w:cs="Arial"/>
                <w:b/>
                <w:sz w:val="24"/>
                <w:szCs w:val="24"/>
              </w:rPr>
              <w:t xml:space="preserve">                                                                      </w:t>
            </w:r>
            <w:r w:rsidR="00DF3273">
              <w:rPr>
                <w:rFonts w:ascii="Arial" w:hAnsi="Arial" w:cs="Arial"/>
                <w:b/>
                <w:sz w:val="24"/>
                <w:szCs w:val="24"/>
                <w:u w:val="single"/>
              </w:rPr>
              <w:t>DEMANDEREURS</w:t>
            </w:r>
          </w:p>
          <w:p w:rsidR="00F4050B" w:rsidRPr="00376F5F" w:rsidRDefault="00F4050B" w:rsidP="00691EC3">
            <w:pPr>
              <w:spacing w:line="240" w:lineRule="auto"/>
              <w:rPr>
                <w:rFonts w:ascii="Arial" w:hAnsi="Arial" w:cs="Arial"/>
                <w:b/>
                <w:sz w:val="24"/>
                <w:szCs w:val="24"/>
                <w:u w:val="single"/>
              </w:rPr>
            </w:pPr>
            <w:r w:rsidRPr="00376F5F">
              <w:rPr>
                <w:rFonts w:ascii="Arial" w:hAnsi="Arial" w:cs="Arial"/>
                <w:b/>
                <w:sz w:val="24"/>
                <w:szCs w:val="24"/>
              </w:rPr>
              <w:t xml:space="preserve">                                                                              </w:t>
            </w:r>
            <w:r w:rsidRPr="00376F5F">
              <w:rPr>
                <w:rFonts w:ascii="Arial" w:hAnsi="Arial" w:cs="Arial"/>
                <w:b/>
                <w:sz w:val="24"/>
                <w:szCs w:val="24"/>
                <w:u w:val="single"/>
              </w:rPr>
              <w:t>D’UNE PART</w:t>
            </w:r>
            <w:r w:rsidRPr="00376F5F">
              <w:rPr>
                <w:rFonts w:ascii="Arial" w:hAnsi="Arial" w:cs="Arial"/>
                <w:b/>
                <w:sz w:val="24"/>
                <w:szCs w:val="24"/>
              </w:rPr>
              <w:t xml:space="preserve">                                                                      </w:t>
            </w:r>
            <w:r w:rsidRPr="00376F5F">
              <w:rPr>
                <w:rFonts w:ascii="Arial" w:hAnsi="Arial" w:cs="Arial"/>
                <w:b/>
                <w:sz w:val="24"/>
                <w:szCs w:val="24"/>
                <w:u w:val="single"/>
              </w:rPr>
              <w:t xml:space="preserve">                                                                                                                                            </w:t>
            </w:r>
          </w:p>
          <w:p w:rsidR="00F4050B" w:rsidRPr="00376F5F" w:rsidRDefault="00DB37C7" w:rsidP="00691EC3">
            <w:pPr>
              <w:jc w:val="both"/>
              <w:rPr>
                <w:rFonts w:ascii="Arial" w:eastAsia="Arial Unicode MS" w:hAnsi="Arial" w:cs="Arial"/>
                <w:sz w:val="24"/>
                <w:szCs w:val="24"/>
              </w:rPr>
            </w:pPr>
            <w:r w:rsidRPr="00F85230">
              <w:rPr>
                <w:rFonts w:ascii="Arial" w:eastAsia="Arial Unicode MS" w:hAnsi="Arial" w:cs="Arial"/>
                <w:b/>
                <w:sz w:val="24"/>
                <w:szCs w:val="24"/>
                <w:u w:val="single"/>
              </w:rPr>
              <w:t>BANQUE ATLANTIQUE DU NIGER</w:t>
            </w:r>
            <w:r w:rsidR="00F4050B" w:rsidRPr="00376F5F">
              <w:rPr>
                <w:rFonts w:ascii="Arial" w:hAnsi="Arial" w:cs="Arial"/>
                <w:b/>
                <w:sz w:val="24"/>
                <w:szCs w:val="24"/>
              </w:rPr>
              <w:t>,</w:t>
            </w:r>
            <w:r w:rsidR="008464ED">
              <w:rPr>
                <w:rFonts w:ascii="Arial" w:hAnsi="Arial" w:cs="Arial"/>
                <w:b/>
                <w:sz w:val="24"/>
                <w:szCs w:val="24"/>
              </w:rPr>
              <w:t xml:space="preserve"> société anonyme au capital de 7.500.000 F CFA</w:t>
            </w:r>
            <w:r w:rsidR="00F4050B" w:rsidRPr="00376F5F">
              <w:rPr>
                <w:rFonts w:ascii="Arial" w:hAnsi="Arial" w:cs="Arial"/>
                <w:b/>
                <w:sz w:val="24"/>
                <w:szCs w:val="24"/>
              </w:rPr>
              <w:t xml:space="preserve"> </w:t>
            </w:r>
            <w:r w:rsidR="00F4050B" w:rsidRPr="00376F5F">
              <w:rPr>
                <w:rFonts w:ascii="Arial" w:hAnsi="Arial" w:cs="Arial"/>
                <w:sz w:val="24"/>
                <w:szCs w:val="24"/>
              </w:rPr>
              <w:t>ayant son siège</w:t>
            </w:r>
            <w:r w:rsidR="008464ED">
              <w:rPr>
                <w:rFonts w:ascii="Arial" w:hAnsi="Arial" w:cs="Arial"/>
                <w:sz w:val="24"/>
                <w:szCs w:val="24"/>
              </w:rPr>
              <w:t xml:space="preserve"> social</w:t>
            </w:r>
            <w:r w:rsidR="00F4050B" w:rsidRPr="00376F5F">
              <w:rPr>
                <w:rFonts w:ascii="Arial" w:hAnsi="Arial" w:cs="Arial"/>
                <w:sz w:val="24"/>
                <w:szCs w:val="24"/>
              </w:rPr>
              <w:t xml:space="preserve"> à Niamey</w:t>
            </w:r>
            <w:r w:rsidR="008464ED">
              <w:rPr>
                <w:rFonts w:ascii="Arial" w:hAnsi="Arial" w:cs="Arial"/>
                <w:sz w:val="24"/>
                <w:szCs w:val="24"/>
              </w:rPr>
              <w:t xml:space="preserve"> au Rond Point de la Liberté,</w:t>
            </w:r>
            <w:r w:rsidR="00F4050B" w:rsidRPr="00376F5F">
              <w:rPr>
                <w:rFonts w:ascii="Arial" w:hAnsi="Arial" w:cs="Arial"/>
                <w:sz w:val="24"/>
                <w:szCs w:val="24"/>
              </w:rPr>
              <w:t xml:space="preserve"> B.P. </w:t>
            </w:r>
            <w:r w:rsidR="008464ED">
              <w:rPr>
                <w:rFonts w:ascii="Arial" w:hAnsi="Arial" w:cs="Arial"/>
                <w:sz w:val="24"/>
                <w:szCs w:val="24"/>
              </w:rPr>
              <w:t xml:space="preserve">735, représentée par sa Directrice Générale, Madame Ango Nana Aissa, assistée de </w:t>
            </w:r>
            <w:bookmarkStart w:id="0" w:name="_GoBack"/>
            <w:r w:rsidR="008464ED">
              <w:rPr>
                <w:rFonts w:ascii="Arial" w:hAnsi="Arial" w:cs="Arial"/>
                <w:sz w:val="24"/>
                <w:szCs w:val="24"/>
              </w:rPr>
              <w:t>Maître Madougou Lawali, Avocat à la Cour, 293 Boulevard de la Jeunesse, BP : 343 Niamey ;</w:t>
            </w:r>
          </w:p>
          <w:bookmarkEnd w:id="0"/>
          <w:p w:rsidR="00F4050B" w:rsidRPr="00376F5F" w:rsidRDefault="00F4050B" w:rsidP="00691EC3">
            <w:pPr>
              <w:jc w:val="both"/>
              <w:rPr>
                <w:rFonts w:ascii="Arial" w:hAnsi="Arial" w:cs="Arial"/>
                <w:b/>
                <w:sz w:val="24"/>
                <w:szCs w:val="24"/>
                <w:u w:val="single"/>
              </w:rPr>
            </w:pPr>
            <w:r w:rsidRPr="00376F5F">
              <w:rPr>
                <w:rFonts w:ascii="Arial" w:hAnsi="Arial" w:cs="Arial"/>
                <w:sz w:val="24"/>
                <w:szCs w:val="24"/>
              </w:rPr>
              <w:t xml:space="preserve">                                                                       </w:t>
            </w:r>
            <w:r w:rsidRPr="00376F5F">
              <w:rPr>
                <w:rFonts w:ascii="Arial" w:hAnsi="Arial" w:cs="Arial"/>
                <w:b/>
                <w:sz w:val="24"/>
                <w:szCs w:val="24"/>
                <w:u w:val="single"/>
              </w:rPr>
              <w:t xml:space="preserve">DEFENDERESSE  </w:t>
            </w:r>
          </w:p>
          <w:p w:rsidR="00F4050B" w:rsidRPr="00376F5F" w:rsidRDefault="00F4050B" w:rsidP="00691EC3">
            <w:pPr>
              <w:jc w:val="both"/>
              <w:rPr>
                <w:rFonts w:ascii="Arial" w:hAnsi="Arial" w:cs="Arial"/>
                <w:sz w:val="24"/>
                <w:szCs w:val="24"/>
              </w:rPr>
            </w:pPr>
            <w:r w:rsidRPr="00376F5F">
              <w:rPr>
                <w:rFonts w:ascii="Arial" w:hAnsi="Arial" w:cs="Arial"/>
                <w:b/>
                <w:sz w:val="24"/>
                <w:szCs w:val="24"/>
              </w:rPr>
              <w:t xml:space="preserve">                                                                          </w:t>
            </w:r>
            <w:r w:rsidRPr="00376F5F">
              <w:rPr>
                <w:rFonts w:ascii="Arial" w:hAnsi="Arial" w:cs="Arial"/>
                <w:b/>
                <w:sz w:val="24"/>
                <w:szCs w:val="24"/>
                <w:u w:val="single"/>
              </w:rPr>
              <w:t>D’AUTRE PART</w:t>
            </w:r>
          </w:p>
          <w:p w:rsidR="00F4050B" w:rsidRPr="00376F5F" w:rsidRDefault="00F4050B" w:rsidP="00691EC3">
            <w:pPr>
              <w:jc w:val="center"/>
              <w:rPr>
                <w:rFonts w:ascii="Arial" w:hAnsi="Arial" w:cs="Arial"/>
                <w:b/>
                <w:sz w:val="24"/>
                <w:szCs w:val="24"/>
                <w:u w:val="single"/>
              </w:rPr>
            </w:pPr>
            <w:r w:rsidRPr="00376F5F">
              <w:rPr>
                <w:rFonts w:ascii="Arial" w:hAnsi="Arial" w:cs="Arial"/>
                <w:b/>
                <w:sz w:val="24"/>
                <w:szCs w:val="24"/>
                <w:u w:val="single"/>
              </w:rPr>
              <w:t xml:space="preserve"> FAITS ET PROCEDURE</w:t>
            </w:r>
          </w:p>
          <w:p w:rsidR="00F4050B" w:rsidRDefault="00454F15" w:rsidP="00691EC3">
            <w:pPr>
              <w:jc w:val="both"/>
              <w:rPr>
                <w:rFonts w:ascii="Arial" w:hAnsi="Arial" w:cs="Arial"/>
                <w:sz w:val="24"/>
                <w:szCs w:val="24"/>
              </w:rPr>
            </w:pPr>
            <w:r>
              <w:rPr>
                <w:rFonts w:ascii="Arial" w:hAnsi="Arial" w:cs="Arial"/>
                <w:sz w:val="24"/>
                <w:szCs w:val="24"/>
              </w:rPr>
              <w:t>Suivant acte en date du 18/07/2017</w:t>
            </w:r>
            <w:r w:rsidR="00F65869">
              <w:rPr>
                <w:rFonts w:ascii="Arial" w:hAnsi="Arial" w:cs="Arial"/>
                <w:sz w:val="24"/>
                <w:szCs w:val="24"/>
              </w:rPr>
              <w:t>, les Etablissements Ibrahim Alassane, Entreprise individuelle ayant son siège à Konni, représentés par Ibrahim Alassane et assisté</w:t>
            </w:r>
            <w:r w:rsidR="00156E2B">
              <w:rPr>
                <w:rFonts w:ascii="Arial" w:hAnsi="Arial" w:cs="Arial"/>
                <w:sz w:val="24"/>
                <w:szCs w:val="24"/>
              </w:rPr>
              <w:t>s de Maître Alidou Adam et Maître Moussa Souleymane, Avocats à la Cour donnaient assignation à</w:t>
            </w:r>
            <w:r w:rsidR="00B22F8A">
              <w:rPr>
                <w:rFonts w:ascii="Arial" w:hAnsi="Arial" w:cs="Arial"/>
                <w:sz w:val="24"/>
                <w:szCs w:val="24"/>
              </w:rPr>
              <w:t xml:space="preserve"> la Banque Atlantique du Niger à </w:t>
            </w:r>
            <w:r w:rsidR="00B22F8A">
              <w:rPr>
                <w:rFonts w:ascii="Arial" w:hAnsi="Arial" w:cs="Arial"/>
                <w:sz w:val="24"/>
                <w:szCs w:val="24"/>
              </w:rPr>
              <w:lastRenderedPageBreak/>
              <w:t>comparaître devant le Tribunal de céans aux fins de :</w:t>
            </w:r>
          </w:p>
          <w:p w:rsidR="00F33836" w:rsidRDefault="00F33836" w:rsidP="00F33836">
            <w:pPr>
              <w:pStyle w:val="Paragraphedeliste"/>
              <w:numPr>
                <w:ilvl w:val="0"/>
                <w:numId w:val="2"/>
              </w:numPr>
              <w:jc w:val="both"/>
              <w:rPr>
                <w:rFonts w:ascii="Arial" w:hAnsi="Arial" w:cs="Arial"/>
                <w:sz w:val="24"/>
                <w:szCs w:val="24"/>
              </w:rPr>
            </w:pPr>
            <w:r>
              <w:rPr>
                <w:rFonts w:ascii="Arial" w:hAnsi="Arial" w:cs="Arial"/>
                <w:sz w:val="24"/>
                <w:szCs w:val="24"/>
              </w:rPr>
              <w:t>Y venir la Banque Atlantique du Niger SA ;</w:t>
            </w:r>
          </w:p>
          <w:p w:rsidR="00F33836" w:rsidRDefault="00F33836" w:rsidP="00F33836">
            <w:pPr>
              <w:pStyle w:val="Paragraphedeliste"/>
              <w:numPr>
                <w:ilvl w:val="0"/>
                <w:numId w:val="2"/>
              </w:numPr>
              <w:jc w:val="both"/>
              <w:rPr>
                <w:rFonts w:ascii="Arial" w:hAnsi="Arial" w:cs="Arial"/>
                <w:sz w:val="24"/>
                <w:szCs w:val="24"/>
              </w:rPr>
            </w:pPr>
            <w:r>
              <w:rPr>
                <w:rFonts w:ascii="Arial" w:hAnsi="Arial" w:cs="Arial"/>
                <w:sz w:val="24"/>
                <w:szCs w:val="24"/>
              </w:rPr>
              <w:t>S’entendre constater que les Etablissements Ibrahim Alassane ont intégralement payé leur dette vis-à-vis de la Banque Atlantique ;</w:t>
            </w:r>
          </w:p>
          <w:p w:rsidR="00F33836" w:rsidRDefault="003D0061" w:rsidP="00F33836">
            <w:pPr>
              <w:pStyle w:val="Paragraphedeliste"/>
              <w:numPr>
                <w:ilvl w:val="0"/>
                <w:numId w:val="2"/>
              </w:numPr>
              <w:jc w:val="both"/>
              <w:rPr>
                <w:rFonts w:ascii="Arial" w:hAnsi="Arial" w:cs="Arial"/>
                <w:sz w:val="24"/>
                <w:szCs w:val="24"/>
              </w:rPr>
            </w:pPr>
            <w:r>
              <w:rPr>
                <w:rFonts w:ascii="Arial" w:hAnsi="Arial" w:cs="Arial"/>
                <w:sz w:val="24"/>
                <w:szCs w:val="24"/>
              </w:rPr>
              <w:t xml:space="preserve">S’entendre condamner à restituer aux Etablissements Ibrahim Alassane le titre foncier N°23.375 du Niger portant sur l’immeuble sis parcelle E, </w:t>
            </w:r>
            <w:r w:rsidR="0090724A">
              <w:rPr>
                <w:rFonts w:ascii="Arial" w:hAnsi="Arial" w:cs="Arial"/>
                <w:sz w:val="24"/>
                <w:szCs w:val="24"/>
              </w:rPr>
              <w:t>ilot</w:t>
            </w:r>
            <w:r>
              <w:rPr>
                <w:rFonts w:ascii="Arial" w:hAnsi="Arial" w:cs="Arial"/>
                <w:sz w:val="24"/>
                <w:szCs w:val="24"/>
              </w:rPr>
              <w:t xml:space="preserve"> 200, lotissement Mounwadata, objet de l’acte de cession</w:t>
            </w:r>
            <w:r w:rsidR="00D433C9">
              <w:rPr>
                <w:rFonts w:ascii="Arial" w:hAnsi="Arial" w:cs="Arial"/>
                <w:sz w:val="24"/>
                <w:szCs w:val="24"/>
              </w:rPr>
              <w:t xml:space="preserve"> n° 1059, déposé en garantie sous </w:t>
            </w:r>
            <w:r w:rsidR="0090724A">
              <w:rPr>
                <w:rFonts w:ascii="Arial" w:hAnsi="Arial" w:cs="Arial"/>
                <w:sz w:val="24"/>
                <w:szCs w:val="24"/>
              </w:rPr>
              <w:t>astreinte</w:t>
            </w:r>
            <w:r w:rsidR="00D433C9">
              <w:rPr>
                <w:rFonts w:ascii="Arial" w:hAnsi="Arial" w:cs="Arial"/>
                <w:sz w:val="24"/>
                <w:szCs w:val="24"/>
              </w:rPr>
              <w:t xml:space="preserve"> de 500 000 F CFA par jour de retard</w:t>
            </w:r>
            <w:r w:rsidR="00573161">
              <w:rPr>
                <w:rFonts w:ascii="Arial" w:hAnsi="Arial" w:cs="Arial"/>
                <w:sz w:val="24"/>
                <w:szCs w:val="24"/>
              </w:rPr>
              <w:t xml:space="preserve"> à partie de la décision ;</w:t>
            </w:r>
          </w:p>
          <w:p w:rsidR="00573161" w:rsidRDefault="00573161" w:rsidP="00F33836">
            <w:pPr>
              <w:pStyle w:val="Paragraphedeliste"/>
              <w:numPr>
                <w:ilvl w:val="0"/>
                <w:numId w:val="2"/>
              </w:numPr>
              <w:jc w:val="both"/>
              <w:rPr>
                <w:rFonts w:ascii="Arial" w:hAnsi="Arial" w:cs="Arial"/>
                <w:sz w:val="24"/>
                <w:szCs w:val="24"/>
              </w:rPr>
            </w:pPr>
            <w:r>
              <w:rPr>
                <w:rFonts w:ascii="Arial" w:hAnsi="Arial" w:cs="Arial"/>
                <w:sz w:val="24"/>
                <w:szCs w:val="24"/>
              </w:rPr>
              <w:t>S’entendre condamner à verser la somme de dix millions F CFA aux ETS IBRAHIM ALASSANE en réparation des préjudices subi ;</w:t>
            </w:r>
          </w:p>
          <w:p w:rsidR="00573161" w:rsidRDefault="00573161" w:rsidP="00F33836">
            <w:pPr>
              <w:pStyle w:val="Paragraphedeliste"/>
              <w:numPr>
                <w:ilvl w:val="0"/>
                <w:numId w:val="2"/>
              </w:numPr>
              <w:jc w:val="both"/>
              <w:rPr>
                <w:rFonts w:ascii="Arial" w:hAnsi="Arial" w:cs="Arial"/>
                <w:sz w:val="24"/>
                <w:szCs w:val="24"/>
              </w:rPr>
            </w:pPr>
            <w:r>
              <w:rPr>
                <w:rFonts w:ascii="Arial" w:hAnsi="Arial" w:cs="Arial"/>
                <w:sz w:val="24"/>
                <w:szCs w:val="24"/>
              </w:rPr>
              <w:t>Ordonner l’exécution</w:t>
            </w:r>
            <w:r w:rsidR="004E2C54">
              <w:rPr>
                <w:rFonts w:ascii="Arial" w:hAnsi="Arial" w:cs="Arial"/>
                <w:sz w:val="24"/>
                <w:szCs w:val="24"/>
              </w:rPr>
              <w:t xml:space="preserve"> provisoire de la décision</w:t>
            </w:r>
            <w:r w:rsidR="00E11C8D">
              <w:rPr>
                <w:rFonts w:ascii="Arial" w:hAnsi="Arial" w:cs="Arial"/>
                <w:sz w:val="24"/>
                <w:szCs w:val="24"/>
              </w:rPr>
              <w:t xml:space="preserve"> </w:t>
            </w:r>
            <w:r w:rsidR="0090724A">
              <w:rPr>
                <w:rFonts w:ascii="Arial" w:hAnsi="Arial" w:cs="Arial"/>
                <w:sz w:val="24"/>
                <w:szCs w:val="24"/>
              </w:rPr>
              <w:t>nonobstant</w:t>
            </w:r>
            <w:r w:rsidR="00E11C8D">
              <w:rPr>
                <w:rFonts w:ascii="Arial" w:hAnsi="Arial" w:cs="Arial"/>
                <w:sz w:val="24"/>
                <w:szCs w:val="24"/>
              </w:rPr>
              <w:t xml:space="preserve"> toutes voies de recours ;</w:t>
            </w:r>
          </w:p>
          <w:p w:rsidR="00E11C8D" w:rsidRDefault="00E11C8D" w:rsidP="00F33836">
            <w:pPr>
              <w:pStyle w:val="Paragraphedeliste"/>
              <w:numPr>
                <w:ilvl w:val="0"/>
                <w:numId w:val="2"/>
              </w:numPr>
              <w:jc w:val="both"/>
              <w:rPr>
                <w:rFonts w:ascii="Arial" w:hAnsi="Arial" w:cs="Arial"/>
                <w:sz w:val="24"/>
                <w:szCs w:val="24"/>
              </w:rPr>
            </w:pPr>
            <w:r>
              <w:rPr>
                <w:rFonts w:ascii="Arial" w:hAnsi="Arial" w:cs="Arial"/>
                <w:sz w:val="24"/>
                <w:szCs w:val="24"/>
              </w:rPr>
              <w:t xml:space="preserve">S’entendre la requise condamner aux dépens ; </w:t>
            </w:r>
          </w:p>
          <w:p w:rsidR="00E11C8D" w:rsidRPr="00155937" w:rsidRDefault="00E11C8D" w:rsidP="00155937">
            <w:pPr>
              <w:jc w:val="both"/>
              <w:rPr>
                <w:rFonts w:ascii="Arial" w:hAnsi="Arial" w:cs="Arial"/>
                <w:sz w:val="24"/>
                <w:szCs w:val="24"/>
              </w:rPr>
            </w:pPr>
            <w:r w:rsidRPr="00155937">
              <w:rPr>
                <w:rFonts w:ascii="Arial" w:hAnsi="Arial" w:cs="Arial"/>
                <w:sz w:val="24"/>
                <w:szCs w:val="24"/>
              </w:rPr>
              <w:t>Il fait valoir qu’il avait signé une convention de crédit avec la banque Atlantique d’un montant de 50.000.000 F CFA moyennent une garantie hypothécaire portant sur son immeuble objet du titre foncier n° 23375 du Niger ;</w:t>
            </w:r>
          </w:p>
          <w:p w:rsidR="00E11C8D" w:rsidRPr="00155937" w:rsidRDefault="00E11C8D" w:rsidP="00155937">
            <w:pPr>
              <w:jc w:val="both"/>
              <w:rPr>
                <w:rFonts w:ascii="Arial" w:hAnsi="Arial" w:cs="Arial"/>
                <w:sz w:val="24"/>
                <w:szCs w:val="24"/>
              </w:rPr>
            </w:pPr>
            <w:r w:rsidRPr="00155937">
              <w:rPr>
                <w:rFonts w:ascii="Arial" w:hAnsi="Arial" w:cs="Arial"/>
                <w:sz w:val="24"/>
                <w:szCs w:val="24"/>
              </w:rPr>
              <w:t>Suivant un procès verbal de conciliation</w:t>
            </w:r>
            <w:r w:rsidR="00477DDD" w:rsidRPr="00155937">
              <w:rPr>
                <w:rFonts w:ascii="Arial" w:hAnsi="Arial" w:cs="Arial"/>
                <w:sz w:val="24"/>
                <w:szCs w:val="24"/>
              </w:rPr>
              <w:t xml:space="preserve"> judiciaire du 13 Septembre 2011 intervenu entre les parties, le montant de la créance a été arrêté à la somme de 44. 335.834 F</w:t>
            </w:r>
            <w:r w:rsidR="0090724A" w:rsidRPr="00155937">
              <w:rPr>
                <w:rFonts w:ascii="Arial" w:hAnsi="Arial" w:cs="Arial"/>
                <w:sz w:val="24"/>
                <w:szCs w:val="24"/>
              </w:rPr>
              <w:t> ;</w:t>
            </w:r>
          </w:p>
          <w:p w:rsidR="0090724A" w:rsidRPr="00155937" w:rsidRDefault="007A6AE3" w:rsidP="00155937">
            <w:pPr>
              <w:jc w:val="both"/>
              <w:rPr>
                <w:rFonts w:ascii="Arial" w:hAnsi="Arial" w:cs="Arial"/>
                <w:sz w:val="24"/>
                <w:szCs w:val="24"/>
              </w:rPr>
            </w:pPr>
            <w:r>
              <w:rPr>
                <w:rFonts w:ascii="Arial" w:hAnsi="Arial" w:cs="Arial"/>
                <w:sz w:val="24"/>
                <w:szCs w:val="24"/>
              </w:rPr>
              <w:t>Aux termes du</w:t>
            </w:r>
            <w:r w:rsidR="0090724A" w:rsidRPr="00155937">
              <w:rPr>
                <w:rFonts w:ascii="Arial" w:hAnsi="Arial" w:cs="Arial"/>
                <w:sz w:val="24"/>
                <w:szCs w:val="24"/>
              </w:rPr>
              <w:t xml:space="preserve"> même procès verbal de conciliation, le requérant a cédé une créance d’un montant de 25.904.668 F CFA qu’il</w:t>
            </w:r>
            <w:r w:rsidR="00A77DB6" w:rsidRPr="00155937">
              <w:rPr>
                <w:rFonts w:ascii="Arial" w:hAnsi="Arial" w:cs="Arial"/>
                <w:sz w:val="24"/>
                <w:szCs w:val="24"/>
              </w:rPr>
              <w:t xml:space="preserve"> détenait cont</w:t>
            </w:r>
            <w:r>
              <w:rPr>
                <w:rFonts w:ascii="Arial" w:hAnsi="Arial" w:cs="Arial"/>
                <w:sz w:val="24"/>
                <w:szCs w:val="24"/>
              </w:rPr>
              <w:t xml:space="preserve">re les Etablissement Magagi </w:t>
            </w:r>
            <w:proofErr w:type="spellStart"/>
            <w:r>
              <w:rPr>
                <w:rFonts w:ascii="Arial" w:hAnsi="Arial" w:cs="Arial"/>
                <w:sz w:val="24"/>
                <w:szCs w:val="24"/>
              </w:rPr>
              <w:t>Kaina</w:t>
            </w:r>
            <w:proofErr w:type="spellEnd"/>
            <w:r w:rsidR="00A77DB6" w:rsidRPr="00155937">
              <w:rPr>
                <w:rFonts w:ascii="Arial" w:hAnsi="Arial" w:cs="Arial"/>
                <w:sz w:val="24"/>
                <w:szCs w:val="24"/>
              </w:rPr>
              <w:t xml:space="preserve"> à la Banque Atlantique et les 18.431.116 F CFA </w:t>
            </w:r>
            <w:r>
              <w:rPr>
                <w:rFonts w:ascii="Arial" w:hAnsi="Arial" w:cs="Arial"/>
                <w:sz w:val="28"/>
                <w:szCs w:val="28"/>
                <w:vertAlign w:val="subscript"/>
              </w:rPr>
              <w:t xml:space="preserve">qui restaient ont </w:t>
            </w:r>
            <w:r>
              <w:rPr>
                <w:rFonts w:ascii="Arial" w:hAnsi="Arial" w:cs="Arial"/>
                <w:sz w:val="24"/>
                <w:szCs w:val="24"/>
              </w:rPr>
              <w:t>été réglés à la</w:t>
            </w:r>
            <w:r w:rsidR="00A77DB6" w:rsidRPr="00155937">
              <w:rPr>
                <w:rFonts w:ascii="Arial" w:hAnsi="Arial" w:cs="Arial"/>
                <w:sz w:val="24"/>
                <w:szCs w:val="24"/>
              </w:rPr>
              <w:t xml:space="preserve"> Banque comme l’attestant les différents reçus de paiement ci-dessus énumérés ;</w:t>
            </w:r>
          </w:p>
          <w:p w:rsidR="00A77DB6" w:rsidRPr="00155937" w:rsidRDefault="00A77DB6" w:rsidP="00155937">
            <w:pPr>
              <w:jc w:val="both"/>
              <w:rPr>
                <w:rFonts w:ascii="Arial" w:hAnsi="Arial" w:cs="Arial"/>
                <w:sz w:val="24"/>
                <w:szCs w:val="24"/>
              </w:rPr>
            </w:pPr>
            <w:r w:rsidRPr="00155937">
              <w:rPr>
                <w:rFonts w:ascii="Arial" w:hAnsi="Arial" w:cs="Arial"/>
                <w:sz w:val="24"/>
                <w:szCs w:val="24"/>
              </w:rPr>
              <w:t>Il est de droit</w:t>
            </w:r>
            <w:r w:rsidR="00F3798D" w:rsidRPr="00155937">
              <w:rPr>
                <w:rFonts w:ascii="Arial" w:hAnsi="Arial" w:cs="Arial"/>
                <w:sz w:val="24"/>
                <w:szCs w:val="24"/>
              </w:rPr>
              <w:t xml:space="preserve"> et de jurisprudence que la cession de créance a pour effet de transférer le montant nominal de la créance avec ses attributs positifs ou négatifs ;</w:t>
            </w:r>
          </w:p>
          <w:p w:rsidR="000F0377" w:rsidRPr="00155937" w:rsidRDefault="00F3798D" w:rsidP="00155937">
            <w:pPr>
              <w:jc w:val="both"/>
              <w:rPr>
                <w:rFonts w:ascii="Arial" w:hAnsi="Arial" w:cs="Arial"/>
                <w:sz w:val="24"/>
                <w:szCs w:val="24"/>
              </w:rPr>
            </w:pPr>
            <w:r w:rsidRPr="00155937">
              <w:rPr>
                <w:rFonts w:ascii="Arial" w:hAnsi="Arial" w:cs="Arial"/>
                <w:sz w:val="24"/>
                <w:szCs w:val="24"/>
              </w:rPr>
              <w:t>Dans ces conditions, il n’incombe au cédant de poursuiv</w:t>
            </w:r>
            <w:r w:rsidR="000F0377" w:rsidRPr="00155937">
              <w:rPr>
                <w:rFonts w:ascii="Arial" w:hAnsi="Arial" w:cs="Arial"/>
                <w:sz w:val="24"/>
                <w:szCs w:val="24"/>
              </w:rPr>
              <w:t>re le paiement de la créance  cédée ;</w:t>
            </w:r>
          </w:p>
          <w:p w:rsidR="003D4B83" w:rsidRPr="00155937" w:rsidRDefault="000F0377" w:rsidP="00155937">
            <w:pPr>
              <w:jc w:val="both"/>
              <w:rPr>
                <w:rFonts w:ascii="Arial" w:hAnsi="Arial" w:cs="Arial"/>
                <w:sz w:val="24"/>
                <w:szCs w:val="24"/>
              </w:rPr>
            </w:pPr>
            <w:r w:rsidRPr="00155937">
              <w:rPr>
                <w:rFonts w:ascii="Arial" w:hAnsi="Arial" w:cs="Arial"/>
                <w:sz w:val="24"/>
                <w:szCs w:val="24"/>
              </w:rPr>
              <w:t>Ce faisant</w:t>
            </w:r>
            <w:r w:rsidR="003D4B83" w:rsidRPr="00155937">
              <w:rPr>
                <w:rFonts w:ascii="Arial" w:hAnsi="Arial" w:cs="Arial"/>
                <w:sz w:val="24"/>
                <w:szCs w:val="24"/>
              </w:rPr>
              <w:t xml:space="preserve"> toute convention contraire à cette </w:t>
            </w:r>
            <w:r w:rsidR="00155937" w:rsidRPr="00155937">
              <w:rPr>
                <w:rFonts w:ascii="Arial" w:hAnsi="Arial" w:cs="Arial"/>
                <w:sz w:val="24"/>
                <w:szCs w:val="24"/>
              </w:rPr>
              <w:t>règle</w:t>
            </w:r>
            <w:r w:rsidR="003D4B83" w:rsidRPr="00155937">
              <w:rPr>
                <w:rFonts w:ascii="Arial" w:hAnsi="Arial" w:cs="Arial"/>
                <w:sz w:val="24"/>
                <w:szCs w:val="24"/>
              </w:rPr>
              <w:t xml:space="preserve"> encourt nullité du seul fait que l</w:t>
            </w:r>
            <w:r w:rsidR="007A6AE3">
              <w:rPr>
                <w:rFonts w:ascii="Arial" w:hAnsi="Arial" w:cs="Arial"/>
                <w:sz w:val="24"/>
                <w:szCs w:val="24"/>
              </w:rPr>
              <w:t>e droit de réclamer paiement de</w:t>
            </w:r>
            <w:r w:rsidR="003D4B83" w:rsidRPr="00155937">
              <w:rPr>
                <w:rFonts w:ascii="Arial" w:hAnsi="Arial" w:cs="Arial"/>
                <w:sz w:val="24"/>
                <w:szCs w:val="24"/>
              </w:rPr>
              <w:t xml:space="preserve"> la créance est transféré sur la tête du cessionnaire.</w:t>
            </w:r>
          </w:p>
          <w:p w:rsidR="003D4B83" w:rsidRPr="00155937" w:rsidRDefault="003D4B83" w:rsidP="00155937">
            <w:pPr>
              <w:jc w:val="both"/>
              <w:rPr>
                <w:rFonts w:ascii="Arial" w:hAnsi="Arial" w:cs="Arial"/>
                <w:sz w:val="24"/>
                <w:szCs w:val="24"/>
              </w:rPr>
            </w:pPr>
            <w:r w:rsidRPr="00155937">
              <w:rPr>
                <w:rFonts w:ascii="Arial" w:hAnsi="Arial" w:cs="Arial"/>
                <w:sz w:val="24"/>
                <w:szCs w:val="24"/>
              </w:rPr>
              <w:lastRenderedPageBreak/>
              <w:t xml:space="preserve">Cette position a </w:t>
            </w:r>
            <w:r w:rsidR="00155937">
              <w:rPr>
                <w:rFonts w:ascii="Arial" w:hAnsi="Arial" w:cs="Arial"/>
                <w:sz w:val="24"/>
                <w:szCs w:val="24"/>
              </w:rPr>
              <w:t>é</w:t>
            </w:r>
            <w:r w:rsidRPr="00155937">
              <w:rPr>
                <w:rFonts w:ascii="Arial" w:hAnsi="Arial" w:cs="Arial"/>
                <w:sz w:val="24"/>
                <w:szCs w:val="24"/>
              </w:rPr>
              <w:t>té confirmé</w:t>
            </w:r>
            <w:r w:rsidR="00155937">
              <w:rPr>
                <w:rFonts w:ascii="Arial" w:hAnsi="Arial" w:cs="Arial"/>
                <w:sz w:val="24"/>
                <w:szCs w:val="24"/>
              </w:rPr>
              <w:t>e</w:t>
            </w:r>
            <w:r w:rsidRPr="00155937">
              <w:rPr>
                <w:rFonts w:ascii="Arial" w:hAnsi="Arial" w:cs="Arial"/>
                <w:sz w:val="24"/>
                <w:szCs w:val="24"/>
              </w:rPr>
              <w:t xml:space="preserve"> par la </w:t>
            </w:r>
            <w:r w:rsidR="00155937" w:rsidRPr="00155937">
              <w:rPr>
                <w:rFonts w:ascii="Arial" w:hAnsi="Arial" w:cs="Arial"/>
                <w:sz w:val="24"/>
                <w:szCs w:val="24"/>
              </w:rPr>
              <w:t>jurisprudence</w:t>
            </w:r>
            <w:r w:rsidRPr="00155937">
              <w:rPr>
                <w:rFonts w:ascii="Arial" w:hAnsi="Arial" w:cs="Arial"/>
                <w:sz w:val="24"/>
                <w:szCs w:val="24"/>
              </w:rPr>
              <w:t xml:space="preserve"> qui retient que «  la cession de créance, qui n’a d’effet novatoire, ne donne pas naissance à une obligation nouvelle ;</w:t>
            </w:r>
          </w:p>
          <w:p w:rsidR="00B601F0" w:rsidRPr="00155937" w:rsidRDefault="003D4B83" w:rsidP="00155937">
            <w:pPr>
              <w:jc w:val="both"/>
              <w:rPr>
                <w:rFonts w:ascii="Arial" w:hAnsi="Arial" w:cs="Arial"/>
                <w:sz w:val="24"/>
                <w:szCs w:val="24"/>
              </w:rPr>
            </w:pPr>
            <w:r w:rsidRPr="00155937">
              <w:rPr>
                <w:rFonts w:ascii="Arial" w:hAnsi="Arial" w:cs="Arial"/>
                <w:sz w:val="24"/>
                <w:szCs w:val="24"/>
              </w:rPr>
              <w:t xml:space="preserve">Autrement, l’obligation nouvelle consistait à </w:t>
            </w:r>
            <w:r w:rsidR="007A6AE3">
              <w:rPr>
                <w:rFonts w:ascii="Arial" w:hAnsi="Arial" w:cs="Arial"/>
                <w:sz w:val="24"/>
                <w:szCs w:val="24"/>
              </w:rPr>
              <w:t>récupérer</w:t>
            </w:r>
            <w:r w:rsidRPr="00155937">
              <w:rPr>
                <w:rFonts w:ascii="Arial" w:hAnsi="Arial" w:cs="Arial"/>
                <w:sz w:val="24"/>
                <w:szCs w:val="24"/>
              </w:rPr>
              <w:t xml:space="preserve"> la créance mise sur la tête de IBRAHIM ALASSANE de surcroit illettré de son état est inopérante à son égard en application de cette jurisprudence ;</w:t>
            </w:r>
          </w:p>
          <w:p w:rsidR="00B601F0" w:rsidRPr="00155937" w:rsidRDefault="00B601F0" w:rsidP="00155937">
            <w:pPr>
              <w:jc w:val="both"/>
              <w:rPr>
                <w:rFonts w:ascii="Arial" w:hAnsi="Arial" w:cs="Arial"/>
                <w:sz w:val="24"/>
                <w:szCs w:val="24"/>
              </w:rPr>
            </w:pPr>
            <w:r w:rsidRPr="00155937">
              <w:rPr>
                <w:rFonts w:ascii="Arial" w:hAnsi="Arial" w:cs="Arial"/>
                <w:sz w:val="24"/>
                <w:szCs w:val="24"/>
              </w:rPr>
              <w:t>Ainsi cette dette a été totalement épongée.</w:t>
            </w:r>
          </w:p>
          <w:p w:rsidR="00F3798D" w:rsidRPr="00155937" w:rsidRDefault="00B601F0" w:rsidP="00155937">
            <w:pPr>
              <w:jc w:val="both"/>
              <w:rPr>
                <w:rFonts w:ascii="Arial" w:hAnsi="Arial" w:cs="Arial"/>
                <w:sz w:val="24"/>
                <w:szCs w:val="24"/>
              </w:rPr>
            </w:pPr>
            <w:r w:rsidRPr="00155937">
              <w:rPr>
                <w:rFonts w:ascii="Arial" w:hAnsi="Arial" w:cs="Arial"/>
                <w:sz w:val="24"/>
                <w:szCs w:val="24"/>
              </w:rPr>
              <w:t>Malgré l’exécution de son engagement</w:t>
            </w:r>
            <w:r w:rsidR="00F3798D" w:rsidRPr="00155937">
              <w:rPr>
                <w:rFonts w:ascii="Arial" w:hAnsi="Arial" w:cs="Arial"/>
                <w:sz w:val="24"/>
                <w:szCs w:val="24"/>
              </w:rPr>
              <w:t xml:space="preserve"> </w:t>
            </w:r>
            <w:r w:rsidRPr="00155937">
              <w:rPr>
                <w:rFonts w:ascii="Arial" w:hAnsi="Arial" w:cs="Arial"/>
                <w:sz w:val="24"/>
                <w:szCs w:val="24"/>
              </w:rPr>
              <w:t xml:space="preserve"> vis-à-vis de la </w:t>
            </w:r>
            <w:r w:rsidR="00155937" w:rsidRPr="00155937">
              <w:rPr>
                <w:rFonts w:ascii="Arial" w:hAnsi="Arial" w:cs="Arial"/>
                <w:sz w:val="24"/>
                <w:szCs w:val="24"/>
              </w:rPr>
              <w:t>requise</w:t>
            </w:r>
            <w:r w:rsidRPr="00155937">
              <w:rPr>
                <w:rFonts w:ascii="Arial" w:hAnsi="Arial" w:cs="Arial"/>
                <w:sz w:val="24"/>
                <w:szCs w:val="24"/>
              </w:rPr>
              <w:t xml:space="preserve"> par le </w:t>
            </w:r>
            <w:r w:rsidR="0073262D" w:rsidRPr="00155937">
              <w:rPr>
                <w:rFonts w:ascii="Arial" w:hAnsi="Arial" w:cs="Arial"/>
                <w:sz w:val="24"/>
                <w:szCs w:val="24"/>
              </w:rPr>
              <w:t>paiement</w:t>
            </w:r>
            <w:r w:rsidRPr="00155937">
              <w:rPr>
                <w:rFonts w:ascii="Arial" w:hAnsi="Arial" w:cs="Arial"/>
                <w:sz w:val="24"/>
                <w:szCs w:val="24"/>
              </w:rPr>
              <w:t xml:space="preserve"> total de la dette, celle-ci refuse pour ce qui la concerne d’exécuter son obligation de leur restituer son titre foncier hypothéqué en garantie du </w:t>
            </w:r>
            <w:r w:rsidR="00D87154" w:rsidRPr="00155937">
              <w:rPr>
                <w:rFonts w:ascii="Arial" w:hAnsi="Arial" w:cs="Arial"/>
                <w:sz w:val="24"/>
                <w:szCs w:val="24"/>
              </w:rPr>
              <w:t>paiement</w:t>
            </w:r>
            <w:r w:rsidRPr="00155937">
              <w:rPr>
                <w:rFonts w:ascii="Arial" w:hAnsi="Arial" w:cs="Arial"/>
                <w:sz w:val="24"/>
                <w:szCs w:val="24"/>
              </w:rPr>
              <w:t xml:space="preserve"> de sa créance.</w:t>
            </w:r>
          </w:p>
          <w:p w:rsidR="00B601F0" w:rsidRPr="00155937" w:rsidRDefault="00D87154" w:rsidP="00155937">
            <w:pPr>
              <w:jc w:val="both"/>
              <w:rPr>
                <w:rFonts w:ascii="Arial" w:hAnsi="Arial" w:cs="Arial"/>
                <w:sz w:val="24"/>
                <w:szCs w:val="24"/>
              </w:rPr>
            </w:pPr>
            <w:r w:rsidRPr="00155937">
              <w:rPr>
                <w:rFonts w:ascii="Arial" w:hAnsi="Arial" w:cs="Arial"/>
                <w:sz w:val="24"/>
                <w:szCs w:val="24"/>
              </w:rPr>
              <w:t>Cette</w:t>
            </w:r>
            <w:r w:rsidR="00B601F0" w:rsidRPr="00155937">
              <w:rPr>
                <w:rFonts w:ascii="Arial" w:hAnsi="Arial" w:cs="Arial"/>
                <w:sz w:val="24"/>
                <w:szCs w:val="24"/>
              </w:rPr>
              <w:t xml:space="preserve"> attitude </w:t>
            </w:r>
            <w:r w:rsidR="00155937">
              <w:rPr>
                <w:rFonts w:ascii="Arial" w:hAnsi="Arial" w:cs="Arial"/>
                <w:sz w:val="24"/>
                <w:szCs w:val="24"/>
              </w:rPr>
              <w:t>de la banque, traduisant son mépris</w:t>
            </w:r>
            <w:r w:rsidR="00B601F0" w:rsidRPr="00155937">
              <w:rPr>
                <w:rFonts w:ascii="Arial" w:hAnsi="Arial" w:cs="Arial"/>
                <w:sz w:val="24"/>
                <w:szCs w:val="24"/>
              </w:rPr>
              <w:t xml:space="preserve"> du</w:t>
            </w:r>
            <w:r w:rsidRPr="00155937">
              <w:rPr>
                <w:rFonts w:ascii="Arial" w:hAnsi="Arial" w:cs="Arial"/>
                <w:sz w:val="24"/>
                <w:szCs w:val="24"/>
              </w:rPr>
              <w:t xml:space="preserve"> </w:t>
            </w:r>
            <w:r w:rsidR="00B601F0" w:rsidRPr="00155937">
              <w:rPr>
                <w:rFonts w:ascii="Arial" w:hAnsi="Arial" w:cs="Arial"/>
                <w:sz w:val="24"/>
                <w:szCs w:val="24"/>
              </w:rPr>
              <w:t>droit et des règles régissan</w:t>
            </w:r>
            <w:r w:rsidR="007A6AE3">
              <w:rPr>
                <w:rFonts w:ascii="Arial" w:hAnsi="Arial" w:cs="Arial"/>
                <w:sz w:val="24"/>
                <w:szCs w:val="24"/>
              </w:rPr>
              <w:t>t sa profession, constitue une s</w:t>
            </w:r>
            <w:r w:rsidR="00B601F0" w:rsidRPr="00155937">
              <w:rPr>
                <w:rFonts w:ascii="Arial" w:hAnsi="Arial" w:cs="Arial"/>
                <w:sz w:val="24"/>
                <w:szCs w:val="24"/>
              </w:rPr>
              <w:t xml:space="preserve">ource de préjudice pour le </w:t>
            </w:r>
            <w:r w:rsidRPr="00155937">
              <w:rPr>
                <w:rFonts w:ascii="Arial" w:hAnsi="Arial" w:cs="Arial"/>
                <w:sz w:val="24"/>
                <w:szCs w:val="24"/>
              </w:rPr>
              <w:t>requérant</w:t>
            </w:r>
            <w:r w:rsidR="00B601F0" w:rsidRPr="00155937">
              <w:rPr>
                <w:rFonts w:ascii="Arial" w:hAnsi="Arial" w:cs="Arial"/>
                <w:sz w:val="24"/>
                <w:szCs w:val="24"/>
              </w:rPr>
              <w:t xml:space="preserve"> qu’elle oblige à saisir la justice pour l’exécution d’une obligation à la quelle pourtant légalement tenu ;</w:t>
            </w:r>
          </w:p>
          <w:p w:rsidR="00B601F0" w:rsidRPr="003B5C89" w:rsidRDefault="00B601F0" w:rsidP="003B5C89">
            <w:pPr>
              <w:jc w:val="both"/>
              <w:rPr>
                <w:rFonts w:ascii="Arial" w:hAnsi="Arial" w:cs="Arial"/>
                <w:sz w:val="24"/>
                <w:szCs w:val="24"/>
              </w:rPr>
            </w:pPr>
            <w:r w:rsidRPr="003B5C89">
              <w:rPr>
                <w:rFonts w:ascii="Arial" w:hAnsi="Arial" w:cs="Arial"/>
                <w:sz w:val="24"/>
                <w:szCs w:val="24"/>
              </w:rPr>
              <w:t xml:space="preserve">Aucune raison ne pouvant justifier ce comportement non professionnel de la banque </w:t>
            </w:r>
            <w:r w:rsidR="00D87154" w:rsidRPr="003B5C89">
              <w:rPr>
                <w:rFonts w:ascii="Arial" w:hAnsi="Arial" w:cs="Arial"/>
                <w:sz w:val="24"/>
                <w:szCs w:val="24"/>
              </w:rPr>
              <w:t>Atlantique, il plaise</w:t>
            </w:r>
            <w:r w:rsidR="00244069" w:rsidRPr="003B5C89">
              <w:rPr>
                <w:rFonts w:ascii="Arial" w:hAnsi="Arial" w:cs="Arial"/>
                <w:sz w:val="24"/>
                <w:szCs w:val="24"/>
              </w:rPr>
              <w:t xml:space="preserve"> au Tribunal de condamner la requise</w:t>
            </w:r>
            <w:r w:rsidR="009510B9" w:rsidRPr="003B5C89">
              <w:rPr>
                <w:rFonts w:ascii="Arial" w:hAnsi="Arial" w:cs="Arial"/>
                <w:sz w:val="24"/>
                <w:szCs w:val="24"/>
              </w:rPr>
              <w:t xml:space="preserve"> à restituer ledit titre foncier, outre le </w:t>
            </w:r>
            <w:r w:rsidR="0073262D" w:rsidRPr="003B5C89">
              <w:rPr>
                <w:rFonts w:ascii="Arial" w:hAnsi="Arial" w:cs="Arial"/>
                <w:sz w:val="24"/>
                <w:szCs w:val="24"/>
              </w:rPr>
              <w:t>paiement</w:t>
            </w:r>
            <w:r w:rsidR="009510B9" w:rsidRPr="003B5C89">
              <w:rPr>
                <w:rFonts w:ascii="Arial" w:hAnsi="Arial" w:cs="Arial"/>
                <w:sz w:val="24"/>
                <w:szCs w:val="24"/>
              </w:rPr>
              <w:t xml:space="preserve"> des dommages et intérêts et d’assortir la décision de l’exécution provisoire </w:t>
            </w:r>
            <w:r w:rsidR="0073262D" w:rsidRPr="003B5C89">
              <w:rPr>
                <w:rFonts w:ascii="Arial" w:hAnsi="Arial" w:cs="Arial"/>
                <w:sz w:val="24"/>
                <w:szCs w:val="24"/>
              </w:rPr>
              <w:t>nonobstant</w:t>
            </w:r>
            <w:r w:rsidR="009510B9" w:rsidRPr="003B5C89">
              <w:rPr>
                <w:rFonts w:ascii="Arial" w:hAnsi="Arial" w:cs="Arial"/>
                <w:sz w:val="24"/>
                <w:szCs w:val="24"/>
              </w:rPr>
              <w:t xml:space="preserve"> toutes voies de recours ;</w:t>
            </w:r>
          </w:p>
          <w:p w:rsidR="009510B9" w:rsidRPr="003B5C89" w:rsidRDefault="009510B9" w:rsidP="003B5C89">
            <w:pPr>
              <w:jc w:val="both"/>
              <w:rPr>
                <w:rFonts w:ascii="Arial" w:hAnsi="Arial" w:cs="Arial"/>
                <w:sz w:val="24"/>
                <w:szCs w:val="24"/>
              </w:rPr>
            </w:pPr>
            <w:r w:rsidRPr="003B5C89">
              <w:rPr>
                <w:rFonts w:ascii="Arial" w:hAnsi="Arial" w:cs="Arial"/>
                <w:sz w:val="24"/>
                <w:szCs w:val="24"/>
              </w:rPr>
              <w:t>En réplique, la Ban</w:t>
            </w:r>
            <w:r w:rsidR="003B5C89">
              <w:rPr>
                <w:rFonts w:ascii="Arial" w:hAnsi="Arial" w:cs="Arial"/>
                <w:sz w:val="24"/>
                <w:szCs w:val="24"/>
              </w:rPr>
              <w:t>que Atlantique  Niger par la pl</w:t>
            </w:r>
            <w:r w:rsidRPr="003B5C89">
              <w:rPr>
                <w:rFonts w:ascii="Arial" w:hAnsi="Arial" w:cs="Arial"/>
                <w:sz w:val="24"/>
                <w:szCs w:val="24"/>
              </w:rPr>
              <w:t xml:space="preserve">ume de son conseil Me Laouali Madougou avocat à la cour </w:t>
            </w:r>
            <w:r w:rsidR="0073262D" w:rsidRPr="003B5C89">
              <w:rPr>
                <w:rFonts w:ascii="Arial" w:hAnsi="Arial" w:cs="Arial"/>
                <w:sz w:val="24"/>
                <w:szCs w:val="24"/>
              </w:rPr>
              <w:t>souti</w:t>
            </w:r>
            <w:r w:rsidR="007A6AE3">
              <w:rPr>
                <w:rFonts w:ascii="Arial" w:hAnsi="Arial" w:cs="Arial"/>
                <w:sz w:val="24"/>
                <w:szCs w:val="24"/>
              </w:rPr>
              <w:t>e</w:t>
            </w:r>
            <w:r w:rsidR="0073262D" w:rsidRPr="003B5C89">
              <w:rPr>
                <w:rFonts w:ascii="Arial" w:hAnsi="Arial" w:cs="Arial"/>
                <w:sz w:val="24"/>
                <w:szCs w:val="24"/>
              </w:rPr>
              <w:t>nt</w:t>
            </w:r>
            <w:r w:rsidRPr="003B5C89">
              <w:rPr>
                <w:rFonts w:ascii="Arial" w:hAnsi="Arial" w:cs="Arial"/>
                <w:sz w:val="24"/>
                <w:szCs w:val="24"/>
              </w:rPr>
              <w:t xml:space="preserve"> qu’elle</w:t>
            </w:r>
            <w:r w:rsidR="006F59EE" w:rsidRPr="003B5C89">
              <w:rPr>
                <w:rFonts w:ascii="Arial" w:hAnsi="Arial" w:cs="Arial"/>
                <w:sz w:val="24"/>
                <w:szCs w:val="24"/>
              </w:rPr>
              <w:t xml:space="preserve"> ne nie pas l’</w:t>
            </w:r>
            <w:r w:rsidR="0073262D" w:rsidRPr="003B5C89">
              <w:rPr>
                <w:rFonts w:ascii="Arial" w:hAnsi="Arial" w:cs="Arial"/>
                <w:sz w:val="24"/>
                <w:szCs w:val="24"/>
              </w:rPr>
              <w:t>existence</w:t>
            </w:r>
            <w:r w:rsidR="006F59EE" w:rsidRPr="003B5C89">
              <w:rPr>
                <w:rFonts w:ascii="Arial" w:hAnsi="Arial" w:cs="Arial"/>
                <w:sz w:val="24"/>
                <w:szCs w:val="24"/>
              </w:rPr>
              <w:t xml:space="preserve"> d’une cession de créance entre les parties, mais que la preuve de la signification au débiteur de la cession ou de son acceptation</w:t>
            </w:r>
            <w:r w:rsidR="00037BB2" w:rsidRPr="003B5C89">
              <w:rPr>
                <w:rFonts w:ascii="Arial" w:hAnsi="Arial" w:cs="Arial"/>
                <w:sz w:val="24"/>
                <w:szCs w:val="24"/>
              </w:rPr>
              <w:t xml:space="preserve"> dans un acte authentique n’a pas été rapporté par Ibrahim Alhassane comme l’exige l’article 1690 du code civil ; c’est une formalité </w:t>
            </w:r>
            <w:r w:rsidR="0073262D" w:rsidRPr="003B5C89">
              <w:rPr>
                <w:rFonts w:ascii="Arial" w:hAnsi="Arial" w:cs="Arial"/>
                <w:sz w:val="24"/>
                <w:szCs w:val="24"/>
              </w:rPr>
              <w:t>substantielle</w:t>
            </w:r>
            <w:r w:rsidR="00037BB2" w:rsidRPr="003B5C89">
              <w:rPr>
                <w:rFonts w:ascii="Arial" w:hAnsi="Arial" w:cs="Arial"/>
                <w:sz w:val="24"/>
                <w:szCs w:val="24"/>
              </w:rPr>
              <w:t xml:space="preserve"> enta</w:t>
            </w:r>
            <w:r w:rsidR="008A6EE6">
              <w:rPr>
                <w:rFonts w:ascii="Arial" w:hAnsi="Arial" w:cs="Arial"/>
                <w:sz w:val="24"/>
                <w:szCs w:val="24"/>
              </w:rPr>
              <w:t>ma</w:t>
            </w:r>
            <w:r w:rsidR="00037BB2" w:rsidRPr="003B5C89">
              <w:rPr>
                <w:rFonts w:ascii="Arial" w:hAnsi="Arial" w:cs="Arial"/>
                <w:sz w:val="24"/>
                <w:szCs w:val="24"/>
              </w:rPr>
              <w:t>nt la validité</w:t>
            </w:r>
            <w:r w:rsidR="008A6EE6">
              <w:rPr>
                <w:rFonts w:ascii="Arial" w:hAnsi="Arial" w:cs="Arial"/>
                <w:sz w:val="24"/>
                <w:szCs w:val="24"/>
              </w:rPr>
              <w:t xml:space="preserve"> de la cession et la</w:t>
            </w:r>
            <w:r w:rsidR="003937BB" w:rsidRPr="003B5C89">
              <w:rPr>
                <w:rFonts w:ascii="Arial" w:hAnsi="Arial" w:cs="Arial"/>
                <w:sz w:val="24"/>
                <w:szCs w:val="24"/>
              </w:rPr>
              <w:t xml:space="preserve"> rend irrégulière et inopposable ;</w:t>
            </w:r>
          </w:p>
          <w:p w:rsidR="003937BB" w:rsidRPr="002857BE" w:rsidRDefault="003937BB" w:rsidP="002857BE">
            <w:pPr>
              <w:jc w:val="both"/>
              <w:rPr>
                <w:rFonts w:ascii="Arial" w:hAnsi="Arial" w:cs="Arial"/>
                <w:sz w:val="24"/>
                <w:szCs w:val="24"/>
              </w:rPr>
            </w:pPr>
            <w:r w:rsidRPr="002857BE">
              <w:rPr>
                <w:rFonts w:ascii="Arial" w:hAnsi="Arial" w:cs="Arial"/>
                <w:sz w:val="24"/>
                <w:szCs w:val="24"/>
              </w:rPr>
              <w:t>Ensuite dans l’acte portant cession</w:t>
            </w:r>
            <w:r w:rsidR="006609C6" w:rsidRPr="002857BE">
              <w:rPr>
                <w:rFonts w:ascii="Arial" w:hAnsi="Arial" w:cs="Arial"/>
                <w:sz w:val="24"/>
                <w:szCs w:val="24"/>
              </w:rPr>
              <w:t xml:space="preserve"> de créance, Ibrahim </w:t>
            </w:r>
            <w:proofErr w:type="spellStart"/>
            <w:r w:rsidR="006609C6" w:rsidRPr="002857BE">
              <w:rPr>
                <w:rFonts w:ascii="Arial" w:hAnsi="Arial" w:cs="Arial"/>
                <w:sz w:val="24"/>
                <w:szCs w:val="24"/>
              </w:rPr>
              <w:t>Alhassane</w:t>
            </w:r>
            <w:proofErr w:type="spellEnd"/>
            <w:r w:rsidR="006609C6" w:rsidRPr="002857BE">
              <w:rPr>
                <w:rFonts w:ascii="Arial" w:hAnsi="Arial" w:cs="Arial"/>
                <w:sz w:val="24"/>
                <w:szCs w:val="24"/>
              </w:rPr>
              <w:t xml:space="preserve">  avait  pris</w:t>
            </w:r>
            <w:r w:rsidR="008A6EE6">
              <w:rPr>
                <w:rFonts w:ascii="Arial" w:hAnsi="Arial" w:cs="Arial"/>
                <w:sz w:val="24"/>
                <w:szCs w:val="24"/>
              </w:rPr>
              <w:t xml:space="preserve"> l’engagement</w:t>
            </w:r>
            <w:r w:rsidR="006609C6" w:rsidRPr="002857BE">
              <w:rPr>
                <w:rFonts w:ascii="Arial" w:hAnsi="Arial" w:cs="Arial"/>
                <w:sz w:val="24"/>
                <w:szCs w:val="24"/>
              </w:rPr>
              <w:t xml:space="preserve"> de faire reverser sur son compte et au plus tard le 20 Octobre 2011, la somme de 25 904 668 F CFA</w:t>
            </w:r>
            <w:r w:rsidR="008A6EE6">
              <w:rPr>
                <w:rFonts w:ascii="Arial" w:hAnsi="Arial" w:cs="Arial"/>
                <w:sz w:val="24"/>
                <w:szCs w:val="24"/>
              </w:rPr>
              <w:t> ;</w:t>
            </w:r>
            <w:r w:rsidR="006609C6" w:rsidRPr="002857BE">
              <w:rPr>
                <w:rFonts w:ascii="Arial" w:hAnsi="Arial" w:cs="Arial"/>
                <w:sz w:val="24"/>
                <w:szCs w:val="24"/>
              </w:rPr>
              <w:t xml:space="preserve"> constatant qu’aucun versement n’a été effectué dans les délais consentis, la banque avait en conséquence dressé une attestation de solde définitif en date du 16 Novembre 2011 ;</w:t>
            </w:r>
          </w:p>
          <w:p w:rsidR="006609C6" w:rsidRPr="002857BE" w:rsidRDefault="006609C6" w:rsidP="002857BE">
            <w:pPr>
              <w:jc w:val="both"/>
              <w:rPr>
                <w:rFonts w:ascii="Arial" w:hAnsi="Arial" w:cs="Arial"/>
                <w:sz w:val="24"/>
                <w:szCs w:val="24"/>
              </w:rPr>
            </w:pPr>
            <w:r w:rsidRPr="002857BE">
              <w:rPr>
                <w:rFonts w:ascii="Arial" w:hAnsi="Arial" w:cs="Arial"/>
                <w:sz w:val="24"/>
                <w:szCs w:val="24"/>
              </w:rPr>
              <w:t xml:space="preserve">Le débiteur </w:t>
            </w:r>
            <w:r w:rsidR="0073262D" w:rsidRPr="002857BE">
              <w:rPr>
                <w:rFonts w:ascii="Arial" w:hAnsi="Arial" w:cs="Arial"/>
                <w:sz w:val="24"/>
                <w:szCs w:val="24"/>
              </w:rPr>
              <w:t>effectua</w:t>
            </w:r>
            <w:r w:rsidRPr="002857BE">
              <w:rPr>
                <w:rFonts w:ascii="Arial" w:hAnsi="Arial" w:cs="Arial"/>
                <w:sz w:val="24"/>
                <w:szCs w:val="24"/>
              </w:rPr>
              <w:t xml:space="preserve"> alors des versements partiels dont le dernier d’un montant de 1. 843. 116 F CFA datant du 06 </w:t>
            </w:r>
            <w:r w:rsidRPr="002857BE">
              <w:rPr>
                <w:rFonts w:ascii="Arial" w:hAnsi="Arial" w:cs="Arial"/>
                <w:sz w:val="24"/>
                <w:szCs w:val="24"/>
              </w:rPr>
              <w:lastRenderedPageBreak/>
              <w:t>Novembre 2013 ;</w:t>
            </w:r>
          </w:p>
          <w:p w:rsidR="006609C6" w:rsidRPr="002857BE" w:rsidRDefault="006609C6" w:rsidP="002857BE">
            <w:pPr>
              <w:jc w:val="both"/>
              <w:rPr>
                <w:rFonts w:ascii="Arial" w:hAnsi="Arial" w:cs="Arial"/>
                <w:sz w:val="24"/>
                <w:szCs w:val="24"/>
              </w:rPr>
            </w:pPr>
            <w:r w:rsidRPr="002857BE">
              <w:rPr>
                <w:rFonts w:ascii="Arial" w:hAnsi="Arial" w:cs="Arial"/>
                <w:sz w:val="24"/>
                <w:szCs w:val="24"/>
              </w:rPr>
              <w:t xml:space="preserve">Contrairement à la version des faits </w:t>
            </w:r>
            <w:r w:rsidR="0073262D" w:rsidRPr="002857BE">
              <w:rPr>
                <w:rFonts w:ascii="Arial" w:hAnsi="Arial" w:cs="Arial"/>
                <w:sz w:val="24"/>
                <w:szCs w:val="24"/>
              </w:rPr>
              <w:t>soutenue</w:t>
            </w:r>
            <w:r w:rsidRPr="002857BE">
              <w:rPr>
                <w:rFonts w:ascii="Arial" w:hAnsi="Arial" w:cs="Arial"/>
                <w:sz w:val="24"/>
                <w:szCs w:val="24"/>
              </w:rPr>
              <w:t xml:space="preserve"> par le débiteur ou ses conseils, aussitôt reçu ce versement fut transmis à la </w:t>
            </w:r>
            <w:r w:rsidR="0073262D" w:rsidRPr="002857BE">
              <w:rPr>
                <w:rFonts w:ascii="Arial" w:hAnsi="Arial" w:cs="Arial"/>
                <w:sz w:val="24"/>
                <w:szCs w:val="24"/>
              </w:rPr>
              <w:t>Banque</w:t>
            </w:r>
            <w:r w:rsidRPr="002857BE">
              <w:rPr>
                <w:rFonts w:ascii="Arial" w:hAnsi="Arial" w:cs="Arial"/>
                <w:sz w:val="24"/>
                <w:szCs w:val="24"/>
              </w:rPr>
              <w:t xml:space="preserve"> </w:t>
            </w:r>
            <w:r w:rsidR="0073262D" w:rsidRPr="002857BE">
              <w:rPr>
                <w:rFonts w:ascii="Arial" w:hAnsi="Arial" w:cs="Arial"/>
                <w:sz w:val="24"/>
                <w:szCs w:val="24"/>
              </w:rPr>
              <w:t>Atlantique</w:t>
            </w:r>
            <w:r w:rsidRPr="002857BE">
              <w:rPr>
                <w:rFonts w:ascii="Arial" w:hAnsi="Arial" w:cs="Arial"/>
                <w:sz w:val="24"/>
                <w:szCs w:val="24"/>
              </w:rPr>
              <w:t xml:space="preserve"> suivi d’une note</w:t>
            </w:r>
            <w:r w:rsidR="0073262D" w:rsidRPr="002857BE">
              <w:rPr>
                <w:rFonts w:ascii="Arial" w:hAnsi="Arial" w:cs="Arial"/>
                <w:sz w:val="24"/>
                <w:szCs w:val="24"/>
              </w:rPr>
              <w:t xml:space="preserve"> d’honoraire d’un montant de 202.743 F CFA, dont copie jointe aux présentes ;</w:t>
            </w:r>
          </w:p>
          <w:p w:rsidR="0073262D" w:rsidRPr="002857BE" w:rsidRDefault="0073262D" w:rsidP="002857BE">
            <w:pPr>
              <w:jc w:val="both"/>
              <w:rPr>
                <w:rFonts w:ascii="Arial" w:hAnsi="Arial" w:cs="Arial"/>
                <w:sz w:val="24"/>
                <w:szCs w:val="24"/>
              </w:rPr>
            </w:pPr>
            <w:r w:rsidRPr="002857BE">
              <w:rPr>
                <w:rFonts w:ascii="Arial" w:hAnsi="Arial" w:cs="Arial"/>
                <w:sz w:val="24"/>
                <w:szCs w:val="24"/>
              </w:rPr>
              <w:t xml:space="preserve">En outre, pour recouvrer le reliquat de la créance, la Banque Atlantique Niger a engagé une procédure de saisie immobilière aux fins de vente forcée du titre foncier  n° 23375 dont restitution est demandée à la juridiction </w:t>
            </w:r>
            <w:r w:rsidR="00155937" w:rsidRPr="002857BE">
              <w:rPr>
                <w:rFonts w:ascii="Arial" w:hAnsi="Arial" w:cs="Arial"/>
                <w:sz w:val="24"/>
                <w:szCs w:val="24"/>
              </w:rPr>
              <w:t>de céans par Ibrahim Alhassane ;</w:t>
            </w:r>
          </w:p>
          <w:p w:rsidR="00155937" w:rsidRDefault="002857BE" w:rsidP="002857BE">
            <w:pPr>
              <w:jc w:val="both"/>
              <w:rPr>
                <w:rFonts w:ascii="Arial" w:hAnsi="Arial" w:cs="Arial"/>
                <w:sz w:val="24"/>
                <w:szCs w:val="24"/>
              </w:rPr>
            </w:pPr>
            <w:r>
              <w:rPr>
                <w:rFonts w:ascii="Arial" w:hAnsi="Arial" w:cs="Arial"/>
                <w:sz w:val="24"/>
                <w:szCs w:val="24"/>
              </w:rPr>
              <w:t>P</w:t>
            </w:r>
            <w:r w:rsidRPr="002857BE">
              <w:rPr>
                <w:rFonts w:ascii="Arial" w:hAnsi="Arial" w:cs="Arial"/>
                <w:sz w:val="24"/>
                <w:szCs w:val="24"/>
              </w:rPr>
              <w:t>e</w:t>
            </w:r>
            <w:r w:rsidR="00155937" w:rsidRPr="002857BE">
              <w:rPr>
                <w:rFonts w:ascii="Arial" w:hAnsi="Arial" w:cs="Arial"/>
                <w:sz w:val="24"/>
                <w:szCs w:val="24"/>
              </w:rPr>
              <w:t>nd</w:t>
            </w:r>
            <w:r>
              <w:rPr>
                <w:rFonts w:ascii="Arial" w:hAnsi="Arial" w:cs="Arial"/>
                <w:sz w:val="24"/>
                <w:szCs w:val="24"/>
              </w:rPr>
              <w:t>ant qu’une sommation de prendre communication du cahier des charges a été servie au requérant par acte en date du 17 Juillet 2017 aux fins d’insérer ses dires  et observations jusqu’au 5</w:t>
            </w:r>
            <w:r w:rsidRPr="002857BE">
              <w:rPr>
                <w:rFonts w:ascii="Arial" w:hAnsi="Arial" w:cs="Arial"/>
                <w:sz w:val="24"/>
                <w:szCs w:val="24"/>
                <w:vertAlign w:val="superscript"/>
              </w:rPr>
              <w:t>e</w:t>
            </w:r>
            <w:r>
              <w:rPr>
                <w:rFonts w:ascii="Arial" w:hAnsi="Arial" w:cs="Arial"/>
                <w:sz w:val="24"/>
                <w:szCs w:val="24"/>
              </w:rPr>
              <w:t xml:space="preserve"> jour précédant l’audience éventuelle de contestations fixée au 31 Août 2017, le débiteur choisit la voie du dilatoire et attrait </w:t>
            </w:r>
            <w:r w:rsidR="004F0184">
              <w:rPr>
                <w:rFonts w:ascii="Arial" w:hAnsi="Arial" w:cs="Arial"/>
                <w:sz w:val="24"/>
                <w:szCs w:val="24"/>
              </w:rPr>
              <w:t xml:space="preserve"> pour la 3ème  fois  pour la même cause, la Banque Atlantique devant le Tribunal de céans par acte en date du 18 Juillet 2017 ;</w:t>
            </w:r>
          </w:p>
          <w:p w:rsidR="004F0184" w:rsidRDefault="004F0184" w:rsidP="002857BE">
            <w:pPr>
              <w:jc w:val="both"/>
              <w:rPr>
                <w:rFonts w:ascii="Arial" w:hAnsi="Arial" w:cs="Arial"/>
                <w:sz w:val="24"/>
                <w:szCs w:val="24"/>
              </w:rPr>
            </w:pPr>
            <w:r>
              <w:rPr>
                <w:rFonts w:ascii="Arial" w:hAnsi="Arial" w:cs="Arial"/>
                <w:sz w:val="24"/>
                <w:szCs w:val="24"/>
              </w:rPr>
              <w:t>D’où l’exception de litispendance et de connexité soulevée par la Banque dans ses conclusions en date du 14 Août 2017 ;</w:t>
            </w:r>
          </w:p>
          <w:p w:rsidR="004F0184" w:rsidRDefault="002A2636" w:rsidP="002857BE">
            <w:pPr>
              <w:jc w:val="both"/>
              <w:rPr>
                <w:rFonts w:ascii="Arial" w:hAnsi="Arial" w:cs="Arial"/>
                <w:sz w:val="24"/>
                <w:szCs w:val="24"/>
              </w:rPr>
            </w:pPr>
            <w:r>
              <w:rPr>
                <w:rFonts w:ascii="Arial" w:hAnsi="Arial" w:cs="Arial"/>
                <w:sz w:val="24"/>
                <w:szCs w:val="24"/>
              </w:rPr>
              <w:t>En la forme et in limine litis, la Banque Atlantique du Niger soulève l’incompétence du Tribunal de céans au motif qu’il s’était déjà déclaré incompétent sur le fond de l’affaire, et de se déclarer incompétent à nouveau conformément à sa propre jurisprudence ;</w:t>
            </w:r>
          </w:p>
          <w:p w:rsidR="00965682" w:rsidRDefault="003873E5" w:rsidP="002857BE">
            <w:pPr>
              <w:jc w:val="both"/>
              <w:rPr>
                <w:rFonts w:ascii="Arial" w:hAnsi="Arial" w:cs="Arial"/>
                <w:sz w:val="24"/>
                <w:szCs w:val="24"/>
              </w:rPr>
            </w:pPr>
            <w:r>
              <w:rPr>
                <w:rFonts w:ascii="Arial" w:hAnsi="Arial" w:cs="Arial"/>
                <w:sz w:val="24"/>
                <w:szCs w:val="24"/>
              </w:rPr>
              <w:t>D’autre part, une cause est déjà pendante devant le Tribunal de Grande Instance de Konni entre les mêmes parties pour la même cause et agissant à la même qualité ; une saisie immobilière déjà pendante devant le Tribunal de Grande Instance de Konni</w:t>
            </w:r>
            <w:r w:rsidR="00965682">
              <w:rPr>
                <w:rFonts w:ascii="Arial" w:hAnsi="Arial" w:cs="Arial"/>
                <w:sz w:val="24"/>
                <w:szCs w:val="24"/>
              </w:rPr>
              <w:t> ; d’où le Tribunal de commerce saisi en second lieu doit se déclarer incompétent ;</w:t>
            </w:r>
          </w:p>
          <w:p w:rsidR="003873E5" w:rsidRDefault="007B6C4F" w:rsidP="002857BE">
            <w:pPr>
              <w:jc w:val="both"/>
              <w:rPr>
                <w:rFonts w:ascii="Arial" w:hAnsi="Arial" w:cs="Arial"/>
                <w:sz w:val="24"/>
                <w:szCs w:val="24"/>
              </w:rPr>
            </w:pPr>
            <w:r>
              <w:rPr>
                <w:rFonts w:ascii="Arial" w:hAnsi="Arial" w:cs="Arial"/>
                <w:sz w:val="24"/>
                <w:szCs w:val="24"/>
              </w:rPr>
              <w:t xml:space="preserve">Au fond, la cession de créance est inopposable à la Banque Atlantique du Niger pour non respect de certaines formalités substantielles notamment celles prévues aux articles 1690 et 1693 du code civil relatifs à la garantie sur l’existence de la créance cédée </w:t>
            </w:r>
            <w:r w:rsidR="006D7F24">
              <w:rPr>
                <w:rFonts w:ascii="Arial" w:hAnsi="Arial" w:cs="Arial"/>
                <w:sz w:val="24"/>
                <w:szCs w:val="24"/>
              </w:rPr>
              <w:t xml:space="preserve"> et la preuve de la signification au débiteur de la cession </w:t>
            </w:r>
            <w:r>
              <w:rPr>
                <w:rFonts w:ascii="Arial" w:hAnsi="Arial" w:cs="Arial"/>
                <w:sz w:val="24"/>
                <w:szCs w:val="24"/>
              </w:rPr>
              <w:t>ainsi que son</w:t>
            </w:r>
            <w:r w:rsidR="00970DB2">
              <w:rPr>
                <w:rFonts w:ascii="Arial" w:hAnsi="Arial" w:cs="Arial"/>
                <w:sz w:val="24"/>
                <w:szCs w:val="24"/>
              </w:rPr>
              <w:t xml:space="preserve"> acceptation</w:t>
            </w:r>
            <w:r w:rsidR="006D7F24">
              <w:rPr>
                <w:rFonts w:ascii="Arial" w:hAnsi="Arial" w:cs="Arial"/>
                <w:sz w:val="24"/>
                <w:szCs w:val="24"/>
              </w:rPr>
              <w:t xml:space="preserve"> dans un acte authentique par le cessionnaire ;</w:t>
            </w:r>
          </w:p>
          <w:p w:rsidR="006D7F24" w:rsidRDefault="007E1B57" w:rsidP="002857BE">
            <w:pPr>
              <w:jc w:val="both"/>
              <w:rPr>
                <w:rFonts w:ascii="Arial" w:hAnsi="Arial" w:cs="Arial"/>
                <w:sz w:val="24"/>
                <w:szCs w:val="24"/>
              </w:rPr>
            </w:pPr>
            <w:r>
              <w:rPr>
                <w:rFonts w:ascii="Arial" w:hAnsi="Arial" w:cs="Arial"/>
                <w:sz w:val="24"/>
                <w:szCs w:val="24"/>
              </w:rPr>
              <w:t xml:space="preserve">La Banque Atlantique  du Niger estime que Ibrahim Alassane </w:t>
            </w:r>
            <w:r>
              <w:rPr>
                <w:rFonts w:ascii="Arial" w:hAnsi="Arial" w:cs="Arial"/>
                <w:sz w:val="24"/>
                <w:szCs w:val="24"/>
              </w:rPr>
              <w:lastRenderedPageBreak/>
              <w:t>n’a pas respecté les engagements pris dans l’acte de cession consistant pour lui à recouvrer le montant cédé alors même que l’article 84 al2</w:t>
            </w:r>
            <w:r w:rsidR="00B34C35">
              <w:rPr>
                <w:rFonts w:ascii="Arial" w:hAnsi="Arial" w:cs="Arial"/>
                <w:sz w:val="24"/>
                <w:szCs w:val="24"/>
              </w:rPr>
              <w:t xml:space="preserve"> de l’Acte Uniforme portant organisation des sûretés dispose que « à défaut, le cédant reçoit valablement le paiement de la créance » ; par conséquent, le Tribunal constatera le non paiement de la somme de 26.467.707 F CFA en principal et frais et déboutera Ibrahim Alassane de sa demande de restitution du titre foncier N°23.375 du Niger comme étant mal fondée ;</w:t>
            </w:r>
          </w:p>
          <w:p w:rsidR="00B34C35" w:rsidRDefault="00B34C35" w:rsidP="002857BE">
            <w:pPr>
              <w:jc w:val="both"/>
              <w:rPr>
                <w:rFonts w:ascii="Arial" w:hAnsi="Arial" w:cs="Arial"/>
                <w:sz w:val="24"/>
                <w:szCs w:val="24"/>
              </w:rPr>
            </w:pPr>
            <w:r>
              <w:rPr>
                <w:rFonts w:ascii="Arial" w:hAnsi="Arial" w:cs="Arial"/>
                <w:sz w:val="24"/>
                <w:szCs w:val="24"/>
              </w:rPr>
              <w:t>Le Tribunal maintiendra également l’hypothèque consentie par Ibrahim Alassane conformément à l’</w:t>
            </w:r>
            <w:r w:rsidR="00A36584">
              <w:rPr>
                <w:rFonts w:ascii="Arial" w:hAnsi="Arial" w:cs="Arial"/>
                <w:sz w:val="24"/>
                <w:szCs w:val="24"/>
              </w:rPr>
              <w:t>article</w:t>
            </w:r>
            <w:r>
              <w:rPr>
                <w:rFonts w:ascii="Arial" w:hAnsi="Arial" w:cs="Arial"/>
                <w:sz w:val="24"/>
                <w:szCs w:val="24"/>
              </w:rPr>
              <w:t xml:space="preserve"> 193 de l’Acte Uniforme sur les sûretés qui stipule que : « l’hypothèque est indivisible par nature et subsiste totalemen</w:t>
            </w:r>
            <w:r w:rsidR="00A36584">
              <w:rPr>
                <w:rFonts w:ascii="Arial" w:hAnsi="Arial" w:cs="Arial"/>
                <w:sz w:val="24"/>
                <w:szCs w:val="24"/>
              </w:rPr>
              <w:t>t</w:t>
            </w:r>
            <w:r w:rsidR="00B6430A">
              <w:rPr>
                <w:rFonts w:ascii="Arial" w:hAnsi="Arial" w:cs="Arial"/>
                <w:sz w:val="24"/>
                <w:szCs w:val="24"/>
              </w:rPr>
              <w:t xml:space="preserve"> sur les immeubles affectés jusqu’à complet paiement » ;</w:t>
            </w:r>
          </w:p>
          <w:p w:rsidR="00B6430A" w:rsidRDefault="00C85B9A" w:rsidP="002857BE">
            <w:pPr>
              <w:jc w:val="both"/>
              <w:rPr>
                <w:rFonts w:ascii="Arial" w:hAnsi="Arial" w:cs="Arial"/>
                <w:sz w:val="24"/>
                <w:szCs w:val="24"/>
              </w:rPr>
            </w:pPr>
            <w:r>
              <w:rPr>
                <w:rFonts w:ascii="Arial" w:hAnsi="Arial" w:cs="Arial"/>
                <w:sz w:val="24"/>
                <w:szCs w:val="24"/>
              </w:rPr>
              <w:t>La restitution d’un titre foncier inscrit en hypothèque ne peut résulter que de l’extinction de celle-ci ;</w:t>
            </w:r>
          </w:p>
          <w:p w:rsidR="00C85B9A" w:rsidRDefault="00C85B9A" w:rsidP="002857BE">
            <w:pPr>
              <w:jc w:val="both"/>
              <w:rPr>
                <w:rFonts w:ascii="Arial" w:hAnsi="Arial" w:cs="Arial"/>
                <w:sz w:val="24"/>
                <w:szCs w:val="24"/>
              </w:rPr>
            </w:pPr>
            <w:r>
              <w:rPr>
                <w:rFonts w:ascii="Arial" w:hAnsi="Arial" w:cs="Arial"/>
                <w:sz w:val="24"/>
                <w:szCs w:val="24"/>
              </w:rPr>
              <w:t xml:space="preserve">Le Tribunal constatera que le requérant n’a pas </w:t>
            </w:r>
            <w:proofErr w:type="spellStart"/>
            <w:r>
              <w:rPr>
                <w:rFonts w:ascii="Arial" w:hAnsi="Arial" w:cs="Arial"/>
                <w:sz w:val="24"/>
                <w:szCs w:val="24"/>
              </w:rPr>
              <w:t>comp</w:t>
            </w:r>
            <w:r w:rsidR="008A6EE6">
              <w:rPr>
                <w:rFonts w:ascii="Arial" w:hAnsi="Arial" w:cs="Arial"/>
                <w:sz w:val="24"/>
                <w:szCs w:val="24"/>
              </w:rPr>
              <w:t>l</w:t>
            </w:r>
            <w:r>
              <w:rPr>
                <w:rFonts w:ascii="Arial" w:hAnsi="Arial" w:cs="Arial"/>
                <w:sz w:val="24"/>
                <w:szCs w:val="24"/>
              </w:rPr>
              <w:t>étemment</w:t>
            </w:r>
            <w:proofErr w:type="spellEnd"/>
            <w:r>
              <w:rPr>
                <w:rFonts w:ascii="Arial" w:hAnsi="Arial" w:cs="Arial"/>
                <w:sz w:val="24"/>
                <w:szCs w:val="24"/>
              </w:rPr>
              <w:t xml:space="preserve"> éteint sa dette et de le débouter</w:t>
            </w:r>
            <w:r w:rsidR="00D263A4">
              <w:rPr>
                <w:rFonts w:ascii="Arial" w:hAnsi="Arial" w:cs="Arial"/>
                <w:sz w:val="24"/>
                <w:szCs w:val="24"/>
              </w:rPr>
              <w:t xml:space="preserve"> en conséquence de toutes ses demandes, fins et conclusions ;</w:t>
            </w:r>
          </w:p>
          <w:p w:rsidR="00D263A4" w:rsidRDefault="00B07149" w:rsidP="002857BE">
            <w:pPr>
              <w:jc w:val="both"/>
              <w:rPr>
                <w:rFonts w:ascii="Arial" w:hAnsi="Arial" w:cs="Arial"/>
                <w:sz w:val="24"/>
                <w:szCs w:val="24"/>
              </w:rPr>
            </w:pPr>
            <w:r>
              <w:rPr>
                <w:rFonts w:ascii="Arial" w:hAnsi="Arial" w:cs="Arial"/>
                <w:sz w:val="24"/>
                <w:szCs w:val="24"/>
              </w:rPr>
              <w:t>Par conclusions en réplique d’instance, Ibrahim Alassane par le canal de ses conseils sollicite du Tribunal de rejeter l’exception d’incompétence invoquée par la Banque au motif que le jugement commercial N°57/TCN/2016 du 25 Août 2016 est un jugement sur la forme en ce qu’il a été rendu sur la base de l’assignation qui avait saisi le Tribunal de Grande Instance Hors Classe de Niamey statuant en matière civile, c’était la raison pour laquelle le Tribunal s’était déclaré incompétent ;</w:t>
            </w:r>
          </w:p>
          <w:p w:rsidR="00B07149" w:rsidRDefault="00B07149" w:rsidP="002857BE">
            <w:pPr>
              <w:jc w:val="both"/>
              <w:rPr>
                <w:rFonts w:ascii="Arial" w:hAnsi="Arial" w:cs="Arial"/>
                <w:sz w:val="24"/>
                <w:szCs w:val="24"/>
              </w:rPr>
            </w:pPr>
            <w:r>
              <w:rPr>
                <w:rFonts w:ascii="Arial" w:hAnsi="Arial" w:cs="Arial"/>
                <w:sz w:val="24"/>
                <w:szCs w:val="24"/>
              </w:rPr>
              <w:t>Le litige étant commercial et mettant aux prises deux commerçants, relève incontestablement du Tribunal de commerce ;</w:t>
            </w:r>
          </w:p>
          <w:p w:rsidR="00B07149" w:rsidRDefault="007B3AF8" w:rsidP="002857BE">
            <w:pPr>
              <w:jc w:val="both"/>
              <w:rPr>
                <w:rFonts w:ascii="Arial" w:hAnsi="Arial" w:cs="Arial"/>
                <w:sz w:val="24"/>
                <w:szCs w:val="24"/>
              </w:rPr>
            </w:pPr>
            <w:r>
              <w:rPr>
                <w:rFonts w:ascii="Arial" w:hAnsi="Arial" w:cs="Arial"/>
                <w:sz w:val="24"/>
                <w:szCs w:val="24"/>
              </w:rPr>
              <w:t>Sur la connexité et la litispendance, Ibrahim Alassane fait valoir qu’il a suivant correspondance du 1</w:t>
            </w:r>
            <w:r w:rsidRPr="007B3AF8">
              <w:rPr>
                <w:rFonts w:ascii="Arial" w:hAnsi="Arial" w:cs="Arial"/>
                <w:sz w:val="24"/>
                <w:szCs w:val="24"/>
                <w:vertAlign w:val="superscript"/>
              </w:rPr>
              <w:t>er</w:t>
            </w:r>
            <w:r>
              <w:rPr>
                <w:rFonts w:ascii="Arial" w:hAnsi="Arial" w:cs="Arial"/>
                <w:sz w:val="24"/>
                <w:szCs w:val="24"/>
              </w:rPr>
              <w:t xml:space="preserve"> Juin 2017 désisté de son appel et avec ce désistement la cour d’appel n’est plus saisie de cet appel ;</w:t>
            </w:r>
          </w:p>
          <w:p w:rsidR="007B3AF8" w:rsidRDefault="00713DCB" w:rsidP="002857BE">
            <w:pPr>
              <w:jc w:val="both"/>
              <w:rPr>
                <w:rFonts w:ascii="Arial" w:hAnsi="Arial" w:cs="Arial"/>
                <w:sz w:val="24"/>
                <w:szCs w:val="24"/>
              </w:rPr>
            </w:pPr>
            <w:r>
              <w:rPr>
                <w:rFonts w:ascii="Arial" w:hAnsi="Arial" w:cs="Arial"/>
                <w:sz w:val="24"/>
                <w:szCs w:val="24"/>
              </w:rPr>
              <w:t xml:space="preserve">La Banque Atlantique du Niger a acquiescé à ce désistement non seulement par l’absence de réaction quelconque suite à cette </w:t>
            </w:r>
            <w:r w:rsidR="00451BC3">
              <w:rPr>
                <w:rFonts w:ascii="Arial" w:hAnsi="Arial" w:cs="Arial"/>
                <w:sz w:val="24"/>
                <w:szCs w:val="24"/>
              </w:rPr>
              <w:t>correspondance,</w:t>
            </w:r>
            <w:r>
              <w:rPr>
                <w:rFonts w:ascii="Arial" w:hAnsi="Arial" w:cs="Arial"/>
                <w:sz w:val="24"/>
                <w:szCs w:val="24"/>
              </w:rPr>
              <w:t xml:space="preserve"> mais de façon expresse, par un acte posé, celui de la signification du commandement afin de saisie immobilière le 05/06/2017 suivie du dépôt de </w:t>
            </w:r>
            <w:r w:rsidR="00451BC3">
              <w:rPr>
                <w:rFonts w:ascii="Arial" w:hAnsi="Arial" w:cs="Arial"/>
                <w:sz w:val="24"/>
                <w:szCs w:val="24"/>
              </w:rPr>
              <w:t>cahier</w:t>
            </w:r>
            <w:r>
              <w:rPr>
                <w:rFonts w:ascii="Arial" w:hAnsi="Arial" w:cs="Arial"/>
                <w:sz w:val="24"/>
                <w:szCs w:val="24"/>
              </w:rPr>
              <w:t xml:space="preserve"> de </w:t>
            </w:r>
            <w:r>
              <w:rPr>
                <w:rFonts w:ascii="Arial" w:hAnsi="Arial" w:cs="Arial"/>
                <w:sz w:val="24"/>
                <w:szCs w:val="24"/>
              </w:rPr>
              <w:lastRenderedPageBreak/>
              <w:t>charges et de sommation à comparaître en audience éventuelle du 30 Août 2017</w:t>
            </w:r>
            <w:r w:rsidR="00DD4D7F">
              <w:rPr>
                <w:rFonts w:ascii="Arial" w:hAnsi="Arial" w:cs="Arial"/>
                <w:sz w:val="24"/>
                <w:szCs w:val="24"/>
              </w:rPr>
              <w:t> ;</w:t>
            </w:r>
          </w:p>
          <w:p w:rsidR="00DD4D7F" w:rsidRDefault="00DD4D7F" w:rsidP="002857BE">
            <w:pPr>
              <w:jc w:val="both"/>
              <w:rPr>
                <w:rFonts w:ascii="Arial" w:hAnsi="Arial" w:cs="Arial"/>
                <w:sz w:val="24"/>
                <w:szCs w:val="24"/>
              </w:rPr>
            </w:pPr>
            <w:r>
              <w:rPr>
                <w:rFonts w:ascii="Arial" w:hAnsi="Arial" w:cs="Arial"/>
                <w:sz w:val="24"/>
                <w:szCs w:val="24"/>
              </w:rPr>
              <w:t>Sur la connexité, la procédure de saisie immobilière engagée à Konni n’est pas de nature à empêcher au Tribunal de céans de se prononcer sur l’objet de sa saisine qui est de constater le paiement total de sa créance</w:t>
            </w:r>
            <w:r w:rsidR="003F2D2A">
              <w:rPr>
                <w:rFonts w:ascii="Arial" w:hAnsi="Arial" w:cs="Arial"/>
                <w:sz w:val="24"/>
                <w:szCs w:val="24"/>
              </w:rPr>
              <w:t xml:space="preserve"> et ordonner en conséquence la restitution du titre foncier ;</w:t>
            </w:r>
          </w:p>
          <w:p w:rsidR="003F2D2A" w:rsidRDefault="001E30B6" w:rsidP="002857BE">
            <w:pPr>
              <w:jc w:val="both"/>
              <w:rPr>
                <w:rFonts w:ascii="Arial" w:hAnsi="Arial" w:cs="Arial"/>
                <w:sz w:val="24"/>
                <w:szCs w:val="24"/>
              </w:rPr>
            </w:pPr>
            <w:r>
              <w:rPr>
                <w:rFonts w:ascii="Arial" w:hAnsi="Arial" w:cs="Arial"/>
                <w:sz w:val="24"/>
                <w:szCs w:val="24"/>
              </w:rPr>
              <w:t>Le Tribunal de Grande Instance de Konni est saisi d’une procédure de saisie immobilière, instance qui ne peut connaître de la contestation au fond de la créance et de la restitution du titre foncier dont est saisi le Tribunal de commerce ;</w:t>
            </w:r>
          </w:p>
          <w:p w:rsidR="001E30B6" w:rsidRDefault="001E30B6" w:rsidP="002857BE">
            <w:pPr>
              <w:jc w:val="both"/>
              <w:rPr>
                <w:rFonts w:ascii="Arial" w:hAnsi="Arial" w:cs="Arial"/>
                <w:sz w:val="24"/>
                <w:szCs w:val="24"/>
              </w:rPr>
            </w:pPr>
            <w:r>
              <w:rPr>
                <w:rFonts w:ascii="Arial" w:hAnsi="Arial" w:cs="Arial"/>
                <w:sz w:val="24"/>
                <w:szCs w:val="24"/>
              </w:rPr>
              <w:t>Il s’agit de deux procédures différentes, chacune des juridictions est compétente quant à l’objet de sa saisine et il n’ya aucun risque de contrariété de jugement ;</w:t>
            </w:r>
          </w:p>
          <w:p w:rsidR="001E30B6" w:rsidRDefault="001E30B6" w:rsidP="002857BE">
            <w:pPr>
              <w:jc w:val="both"/>
              <w:rPr>
                <w:rFonts w:ascii="Arial" w:hAnsi="Arial" w:cs="Arial"/>
                <w:sz w:val="24"/>
                <w:szCs w:val="24"/>
              </w:rPr>
            </w:pPr>
            <w:r>
              <w:rPr>
                <w:rFonts w:ascii="Arial" w:hAnsi="Arial" w:cs="Arial"/>
                <w:sz w:val="24"/>
                <w:szCs w:val="24"/>
              </w:rPr>
              <w:t>Au fond, l’article 1690 du code civil invoqué par la Banque Atlantique du Niger ne peut être soulevé que par les tiers au contrat de cession ;</w:t>
            </w:r>
          </w:p>
          <w:p w:rsidR="001E30B6" w:rsidRDefault="001E30B6" w:rsidP="002857BE">
            <w:pPr>
              <w:jc w:val="both"/>
              <w:rPr>
                <w:rFonts w:ascii="Arial" w:hAnsi="Arial" w:cs="Arial"/>
                <w:sz w:val="24"/>
                <w:szCs w:val="24"/>
              </w:rPr>
            </w:pPr>
            <w:r>
              <w:rPr>
                <w:rFonts w:ascii="Arial" w:hAnsi="Arial" w:cs="Arial"/>
                <w:sz w:val="24"/>
                <w:szCs w:val="24"/>
              </w:rPr>
              <w:t>Il s’agit de l’inopposabilité aux tiers de la cession de</w:t>
            </w:r>
            <w:r w:rsidR="00171A66">
              <w:rPr>
                <w:rFonts w:ascii="Arial" w:hAnsi="Arial" w:cs="Arial"/>
                <w:sz w:val="24"/>
                <w:szCs w:val="24"/>
              </w:rPr>
              <w:t xml:space="preserve">  créance ; une partie au contrat de cession ne peut l’invoquer ;</w:t>
            </w:r>
          </w:p>
          <w:p w:rsidR="00171A66" w:rsidRDefault="00171A66" w:rsidP="002857BE">
            <w:pPr>
              <w:jc w:val="both"/>
              <w:rPr>
                <w:rFonts w:ascii="Arial" w:hAnsi="Arial" w:cs="Arial"/>
                <w:sz w:val="24"/>
                <w:szCs w:val="24"/>
              </w:rPr>
            </w:pPr>
            <w:r>
              <w:rPr>
                <w:rFonts w:ascii="Arial" w:hAnsi="Arial" w:cs="Arial"/>
                <w:sz w:val="24"/>
                <w:szCs w:val="24"/>
              </w:rPr>
              <w:t>La Banque ne peut non plus contester avoir acquiescé et encaissé les versements successifs du reliquat de la créance après la cession c'est-à-dire les 18.431.166 F CFA, plus les frais de recouvrement de 10% qu’elle a exigés ;</w:t>
            </w:r>
          </w:p>
          <w:p w:rsidR="000943CC" w:rsidRDefault="000943CC" w:rsidP="002857BE">
            <w:pPr>
              <w:jc w:val="both"/>
              <w:rPr>
                <w:rFonts w:ascii="Arial" w:hAnsi="Arial" w:cs="Arial"/>
                <w:sz w:val="24"/>
                <w:szCs w:val="24"/>
              </w:rPr>
            </w:pPr>
            <w:r>
              <w:rPr>
                <w:rFonts w:ascii="Arial" w:hAnsi="Arial" w:cs="Arial"/>
                <w:sz w:val="24"/>
                <w:szCs w:val="24"/>
              </w:rPr>
              <w:t>Ibrahim Alassane ajoute qu’une cession de créance assortie d’un engagement du cédant de recouvrer la créance n’a aucun sens ;</w:t>
            </w:r>
          </w:p>
          <w:p w:rsidR="000943CC" w:rsidRDefault="000943CC" w:rsidP="002857BE">
            <w:pPr>
              <w:jc w:val="both"/>
              <w:rPr>
                <w:rFonts w:ascii="Arial" w:hAnsi="Arial" w:cs="Arial"/>
                <w:sz w:val="24"/>
                <w:szCs w:val="24"/>
              </w:rPr>
            </w:pPr>
            <w:r>
              <w:rPr>
                <w:rFonts w:ascii="Arial" w:hAnsi="Arial" w:cs="Arial"/>
                <w:sz w:val="24"/>
                <w:szCs w:val="24"/>
              </w:rPr>
              <w:t>Une fois la créance cédée, le cédant n’a plus aucun pouvoir, ni aucune qualité pour recouvrer la créance cédée ;</w:t>
            </w:r>
          </w:p>
          <w:p w:rsidR="000943CC" w:rsidRDefault="000943CC" w:rsidP="002857BE">
            <w:pPr>
              <w:jc w:val="both"/>
              <w:rPr>
                <w:rFonts w:ascii="Arial" w:hAnsi="Arial" w:cs="Arial"/>
                <w:sz w:val="24"/>
                <w:szCs w:val="24"/>
              </w:rPr>
            </w:pPr>
            <w:r>
              <w:rPr>
                <w:rFonts w:ascii="Arial" w:hAnsi="Arial" w:cs="Arial"/>
                <w:sz w:val="24"/>
                <w:szCs w:val="24"/>
              </w:rPr>
              <w:t>Au surplus, il s’agit d’un contrat entre un professionnel et un non professionnel, de surcroît un illettré ;</w:t>
            </w:r>
          </w:p>
          <w:p w:rsidR="00A91A41" w:rsidRDefault="00A91A41" w:rsidP="002857BE">
            <w:pPr>
              <w:jc w:val="both"/>
              <w:rPr>
                <w:rFonts w:ascii="Arial" w:hAnsi="Arial" w:cs="Arial"/>
                <w:sz w:val="24"/>
                <w:szCs w:val="24"/>
              </w:rPr>
            </w:pPr>
            <w:r>
              <w:rPr>
                <w:rFonts w:ascii="Arial" w:hAnsi="Arial" w:cs="Arial"/>
                <w:sz w:val="24"/>
                <w:szCs w:val="24"/>
              </w:rPr>
              <w:t>Il fait valoir qu’il n’a aucun intérêt à conclure cette cession de créance s’il devait lui-même procéder au recouvrement ;</w:t>
            </w:r>
          </w:p>
          <w:p w:rsidR="00AA3183" w:rsidRDefault="00AA3183" w:rsidP="002857BE">
            <w:pPr>
              <w:jc w:val="both"/>
              <w:rPr>
                <w:rFonts w:ascii="Arial" w:hAnsi="Arial" w:cs="Arial"/>
                <w:sz w:val="24"/>
                <w:szCs w:val="24"/>
              </w:rPr>
            </w:pPr>
            <w:r>
              <w:rPr>
                <w:rFonts w:ascii="Arial" w:hAnsi="Arial" w:cs="Arial"/>
                <w:sz w:val="24"/>
                <w:szCs w:val="24"/>
              </w:rPr>
              <w:t xml:space="preserve">Relativement à l’article 84 al2, seul le débiteur cédé peut l’invoquer contre le cessionnaire et peut choisir de payer valablement entre les mains du cédant s’il n’a pas été informé </w:t>
            </w:r>
            <w:r>
              <w:rPr>
                <w:rFonts w:ascii="Arial" w:hAnsi="Arial" w:cs="Arial"/>
                <w:sz w:val="24"/>
                <w:szCs w:val="24"/>
              </w:rPr>
              <w:lastRenderedPageBreak/>
              <w:t>de la cession ;</w:t>
            </w:r>
          </w:p>
          <w:p w:rsidR="00304A7D" w:rsidRDefault="00304A7D" w:rsidP="002857BE">
            <w:pPr>
              <w:jc w:val="both"/>
              <w:rPr>
                <w:rFonts w:ascii="Arial" w:hAnsi="Arial" w:cs="Arial"/>
                <w:sz w:val="24"/>
                <w:szCs w:val="24"/>
              </w:rPr>
            </w:pPr>
            <w:r>
              <w:rPr>
                <w:rFonts w:ascii="Arial" w:hAnsi="Arial" w:cs="Arial"/>
                <w:sz w:val="24"/>
                <w:szCs w:val="24"/>
              </w:rPr>
              <w:t>Il plaira au Tribunal de constater la mauvaise foi de la Banque et de dire que l’engagement de recouvrer la créance cédée imposé au cédant est non avenu dans une cession de créance ;</w:t>
            </w:r>
          </w:p>
          <w:p w:rsidR="005F2375" w:rsidRDefault="00304A7D" w:rsidP="002857BE">
            <w:pPr>
              <w:jc w:val="both"/>
              <w:rPr>
                <w:rFonts w:ascii="Arial" w:hAnsi="Arial" w:cs="Arial"/>
                <w:sz w:val="24"/>
                <w:szCs w:val="24"/>
              </w:rPr>
            </w:pPr>
            <w:r>
              <w:rPr>
                <w:rFonts w:ascii="Arial" w:hAnsi="Arial" w:cs="Arial"/>
                <w:sz w:val="24"/>
                <w:szCs w:val="24"/>
              </w:rPr>
              <w:t>Le paiement de la dette de la Banque est incontestable avec d’une part la cession de créance portant sur 25.904.668 F CFA</w:t>
            </w:r>
            <w:r w:rsidR="005F2375">
              <w:rPr>
                <w:rFonts w:ascii="Arial" w:hAnsi="Arial" w:cs="Arial"/>
                <w:sz w:val="24"/>
                <w:szCs w:val="24"/>
              </w:rPr>
              <w:t xml:space="preserve"> et d’autre part le paiement du reliquat de 18.431.166 F CFA plus un surplus de 1.843.120 F CFA comme frais de recouvrement ;</w:t>
            </w:r>
          </w:p>
          <w:p w:rsidR="000943CC" w:rsidRPr="002857BE" w:rsidRDefault="005F2375" w:rsidP="002857BE">
            <w:pPr>
              <w:jc w:val="both"/>
              <w:rPr>
                <w:rFonts w:ascii="Arial" w:hAnsi="Arial" w:cs="Arial"/>
                <w:sz w:val="24"/>
                <w:szCs w:val="24"/>
              </w:rPr>
            </w:pPr>
            <w:r>
              <w:rPr>
                <w:rFonts w:ascii="Arial" w:hAnsi="Arial" w:cs="Arial"/>
                <w:sz w:val="24"/>
                <w:szCs w:val="24"/>
              </w:rPr>
              <w:t>D’où il ya lieu de constater l’extinction de la créance de la Banque Atlantique du Niger vis-à-vis des Etablissements Ibrahim Alassane et d’ordonner en conséquence la restitution du titre foncier détenu en garantie ;</w:t>
            </w:r>
            <w:r w:rsidR="000943CC">
              <w:rPr>
                <w:rFonts w:ascii="Arial" w:hAnsi="Arial" w:cs="Arial"/>
                <w:sz w:val="24"/>
                <w:szCs w:val="24"/>
              </w:rPr>
              <w:t xml:space="preserve"> </w:t>
            </w:r>
          </w:p>
          <w:p w:rsidR="00F4050B" w:rsidRPr="00376F5F" w:rsidRDefault="00F4050B" w:rsidP="00691EC3">
            <w:pPr>
              <w:jc w:val="center"/>
              <w:rPr>
                <w:rFonts w:ascii="Arial" w:hAnsi="Arial" w:cs="Arial"/>
                <w:b/>
                <w:sz w:val="24"/>
                <w:szCs w:val="24"/>
                <w:u w:val="single"/>
              </w:rPr>
            </w:pPr>
            <w:r w:rsidRPr="00376F5F">
              <w:rPr>
                <w:rFonts w:ascii="Arial" w:hAnsi="Arial" w:cs="Arial"/>
                <w:b/>
                <w:sz w:val="24"/>
                <w:szCs w:val="24"/>
                <w:u w:val="single"/>
              </w:rPr>
              <w:t>DISCUSSION</w:t>
            </w:r>
          </w:p>
          <w:p w:rsidR="00F4050B" w:rsidRPr="00376F5F" w:rsidRDefault="009F57E5" w:rsidP="00691EC3">
            <w:pPr>
              <w:jc w:val="center"/>
              <w:rPr>
                <w:rFonts w:ascii="Arial" w:hAnsi="Arial" w:cs="Arial"/>
                <w:b/>
                <w:sz w:val="24"/>
                <w:szCs w:val="24"/>
                <w:u w:val="single"/>
              </w:rPr>
            </w:pPr>
            <w:r>
              <w:rPr>
                <w:rFonts w:ascii="Arial" w:hAnsi="Arial" w:cs="Arial"/>
                <w:b/>
                <w:sz w:val="24"/>
                <w:szCs w:val="24"/>
                <w:u w:val="single"/>
              </w:rPr>
              <w:t>SUR L’EXCEPTION D’INCOMPETENCE</w:t>
            </w:r>
          </w:p>
          <w:p w:rsidR="00F4050B" w:rsidRDefault="009F57E5" w:rsidP="00691EC3">
            <w:pPr>
              <w:rPr>
                <w:rFonts w:ascii="Arial" w:hAnsi="Arial" w:cs="Arial"/>
                <w:sz w:val="24"/>
                <w:szCs w:val="24"/>
              </w:rPr>
            </w:pPr>
            <w:r>
              <w:rPr>
                <w:rFonts w:ascii="Arial" w:hAnsi="Arial" w:cs="Arial"/>
                <w:sz w:val="24"/>
                <w:szCs w:val="24"/>
              </w:rPr>
              <w:t>La Banque Atlantique du Niger sollicite du Tribunal de se déclarer incompétent au motif que le Tribunal s’étant déjà déclaré incompétent dans la même espèce ;</w:t>
            </w:r>
          </w:p>
          <w:p w:rsidR="009F57E5" w:rsidRDefault="009F57E5" w:rsidP="00691EC3">
            <w:pPr>
              <w:rPr>
                <w:rFonts w:ascii="Arial" w:hAnsi="Arial" w:cs="Arial"/>
                <w:sz w:val="24"/>
                <w:szCs w:val="24"/>
              </w:rPr>
            </w:pPr>
            <w:r>
              <w:rPr>
                <w:rFonts w:ascii="Arial" w:hAnsi="Arial" w:cs="Arial"/>
                <w:sz w:val="24"/>
                <w:szCs w:val="24"/>
              </w:rPr>
              <w:t>Il ya lieu cependant de relever que le jugement d’incompétence invoquée a été rendu sur la base de l’assignation qui avait saisi le Tribunal de Grande Instance Hors Classe de Niamey statuant en matière civile et c’est en raison de cette mention que le Tribunal de céans statuant après dessaisissement du Tribunal de Grande Instance Hors Classe de Niamey s’était déclaré incompétent en la forme ;</w:t>
            </w:r>
          </w:p>
          <w:p w:rsidR="002A2F28" w:rsidRDefault="009F57E5" w:rsidP="00691EC3">
            <w:pPr>
              <w:rPr>
                <w:rFonts w:ascii="Arial" w:hAnsi="Arial" w:cs="Arial"/>
                <w:sz w:val="24"/>
                <w:szCs w:val="24"/>
              </w:rPr>
            </w:pPr>
            <w:r>
              <w:rPr>
                <w:rFonts w:ascii="Arial" w:hAnsi="Arial" w:cs="Arial"/>
                <w:sz w:val="24"/>
                <w:szCs w:val="24"/>
              </w:rPr>
              <w:t>En tout état de cause, l’action des Etablissements Ibrahim Alassane a</w:t>
            </w:r>
            <w:r w:rsidR="0067293C">
              <w:rPr>
                <w:rFonts w:ascii="Arial" w:hAnsi="Arial" w:cs="Arial"/>
                <w:sz w:val="24"/>
                <w:szCs w:val="24"/>
              </w:rPr>
              <w:t>yant</w:t>
            </w:r>
            <w:r>
              <w:rPr>
                <w:rFonts w:ascii="Arial" w:hAnsi="Arial" w:cs="Arial"/>
                <w:sz w:val="24"/>
                <w:szCs w:val="24"/>
              </w:rPr>
              <w:t xml:space="preserve"> un objet commercial ; les parties étant elles-mêmes</w:t>
            </w:r>
            <w:r w:rsidR="002A2F28">
              <w:rPr>
                <w:rFonts w:ascii="Arial" w:hAnsi="Arial" w:cs="Arial"/>
                <w:sz w:val="24"/>
                <w:szCs w:val="24"/>
              </w:rPr>
              <w:t xml:space="preserve"> </w:t>
            </w:r>
            <w:r w:rsidR="0067293C">
              <w:rPr>
                <w:rFonts w:ascii="Arial" w:hAnsi="Arial" w:cs="Arial"/>
                <w:sz w:val="24"/>
                <w:szCs w:val="24"/>
              </w:rPr>
              <w:t xml:space="preserve">commerçantes et la créance de nature commerciale, le litige qui l’oppose à la BAN </w:t>
            </w:r>
            <w:r w:rsidR="002A2F28">
              <w:rPr>
                <w:rFonts w:ascii="Arial" w:hAnsi="Arial" w:cs="Arial"/>
                <w:sz w:val="24"/>
                <w:szCs w:val="24"/>
              </w:rPr>
              <w:t xml:space="preserve"> tombe sous le coup de l’article 26 de la Loi 2015-08 du 10 Avril 2015 sur les Tribunaux de commerce ;</w:t>
            </w:r>
          </w:p>
          <w:p w:rsidR="002A2F28" w:rsidRDefault="002A2F28" w:rsidP="00691EC3">
            <w:pPr>
              <w:rPr>
                <w:rFonts w:ascii="Arial" w:hAnsi="Arial" w:cs="Arial"/>
                <w:sz w:val="24"/>
                <w:szCs w:val="24"/>
              </w:rPr>
            </w:pPr>
            <w:r>
              <w:rPr>
                <w:rFonts w:ascii="Arial" w:hAnsi="Arial" w:cs="Arial"/>
                <w:sz w:val="24"/>
                <w:szCs w:val="24"/>
              </w:rPr>
              <w:t>D’où l’exception d’incompétence sera rejetée ;</w:t>
            </w:r>
          </w:p>
          <w:p w:rsidR="00064694" w:rsidRDefault="00064694" w:rsidP="00064694">
            <w:pPr>
              <w:jc w:val="center"/>
              <w:rPr>
                <w:rFonts w:ascii="Arial" w:hAnsi="Arial" w:cs="Arial"/>
                <w:b/>
                <w:sz w:val="24"/>
                <w:szCs w:val="24"/>
                <w:u w:val="single"/>
              </w:rPr>
            </w:pPr>
            <w:r w:rsidRPr="00064694">
              <w:rPr>
                <w:rFonts w:ascii="Arial" w:hAnsi="Arial" w:cs="Arial"/>
                <w:b/>
                <w:sz w:val="24"/>
                <w:szCs w:val="24"/>
                <w:u w:val="single"/>
              </w:rPr>
              <w:t>SUR LA LITISPENDANCE ET LA CONNEXITE</w:t>
            </w:r>
          </w:p>
          <w:p w:rsidR="00DB7E5B" w:rsidRDefault="00DB7E5B" w:rsidP="00DB7E5B">
            <w:pPr>
              <w:rPr>
                <w:rFonts w:ascii="Arial" w:hAnsi="Arial" w:cs="Arial"/>
                <w:sz w:val="24"/>
                <w:szCs w:val="24"/>
              </w:rPr>
            </w:pPr>
            <w:r>
              <w:rPr>
                <w:rFonts w:ascii="Arial" w:hAnsi="Arial" w:cs="Arial"/>
                <w:sz w:val="24"/>
                <w:szCs w:val="24"/>
              </w:rPr>
              <w:t xml:space="preserve">La Banque Atlantique du Niger invoque la connexité entre la procédure de saisie immobilière déjà pendante devant le Tribunal </w:t>
            </w:r>
            <w:r w:rsidR="00A84D90">
              <w:rPr>
                <w:rFonts w:ascii="Arial" w:hAnsi="Arial" w:cs="Arial"/>
                <w:sz w:val="24"/>
                <w:szCs w:val="24"/>
              </w:rPr>
              <w:t xml:space="preserve">de Grande Instance de Konni et l’action en restitution </w:t>
            </w:r>
            <w:r w:rsidR="00A84D90">
              <w:rPr>
                <w:rFonts w:ascii="Arial" w:hAnsi="Arial" w:cs="Arial"/>
                <w:sz w:val="24"/>
                <w:szCs w:val="24"/>
              </w:rPr>
              <w:lastRenderedPageBreak/>
              <w:t>introduite devant le Tribunal de céans ;</w:t>
            </w:r>
          </w:p>
          <w:p w:rsidR="00A84D90" w:rsidRDefault="00A84D90" w:rsidP="00DB7E5B">
            <w:pPr>
              <w:rPr>
                <w:rFonts w:ascii="Arial" w:hAnsi="Arial" w:cs="Arial"/>
                <w:sz w:val="24"/>
                <w:szCs w:val="24"/>
              </w:rPr>
            </w:pPr>
            <w:r>
              <w:rPr>
                <w:rFonts w:ascii="Arial" w:hAnsi="Arial" w:cs="Arial"/>
                <w:sz w:val="24"/>
                <w:szCs w:val="24"/>
              </w:rPr>
              <w:t>Ibrahim Alassane fait valoir que le Tribunal de céans est saisi d’une contestation au fond de créance commerciale entre un commerçant et une banque, société commerciale ;</w:t>
            </w:r>
          </w:p>
          <w:p w:rsidR="00A84D90" w:rsidRDefault="00A84D90" w:rsidP="00DB7E5B">
            <w:pPr>
              <w:rPr>
                <w:rFonts w:ascii="Arial" w:hAnsi="Arial" w:cs="Arial"/>
                <w:sz w:val="24"/>
                <w:szCs w:val="24"/>
              </w:rPr>
            </w:pPr>
            <w:r>
              <w:rPr>
                <w:rFonts w:ascii="Arial" w:hAnsi="Arial" w:cs="Arial"/>
                <w:sz w:val="24"/>
                <w:szCs w:val="24"/>
              </w:rPr>
              <w:t>Il ne s’agit pas d’incident de saisie immobilière en ce sens  que cette contestation n’est pas née à l’occasion de la procédure de saisie immobilière ;</w:t>
            </w:r>
          </w:p>
          <w:p w:rsidR="00A84D90" w:rsidRDefault="00A84D90" w:rsidP="00DB7E5B">
            <w:pPr>
              <w:rPr>
                <w:rFonts w:ascii="Arial" w:hAnsi="Arial" w:cs="Arial"/>
                <w:sz w:val="24"/>
                <w:szCs w:val="24"/>
              </w:rPr>
            </w:pPr>
            <w:r>
              <w:rPr>
                <w:rFonts w:ascii="Arial" w:hAnsi="Arial" w:cs="Arial"/>
                <w:sz w:val="24"/>
                <w:szCs w:val="24"/>
              </w:rPr>
              <w:t>Cependant, l’analyse des pièces du dossier révèle que par acte en date du 17 Juillet 2017, la</w:t>
            </w:r>
            <w:r w:rsidR="00DF2BA0">
              <w:rPr>
                <w:rFonts w:ascii="Arial" w:hAnsi="Arial" w:cs="Arial"/>
                <w:sz w:val="24"/>
                <w:szCs w:val="24"/>
              </w:rPr>
              <w:t xml:space="preserve"> Banque Atlantique du Niger</w:t>
            </w:r>
            <w:r w:rsidR="00323A21">
              <w:rPr>
                <w:rFonts w:ascii="Arial" w:hAnsi="Arial" w:cs="Arial"/>
                <w:sz w:val="24"/>
                <w:szCs w:val="24"/>
              </w:rPr>
              <w:t xml:space="preserve"> servait à Ibrahim Alassane une sommation de prendre communication du cahier de charges aux fins de faire insérer ses dires et observations jusqu’au 5è jour précédent l’audience éventuelle de contestations fixée au 31 Août 2017 ;</w:t>
            </w:r>
          </w:p>
          <w:p w:rsidR="008A6EE6" w:rsidRDefault="008C3393" w:rsidP="00DB7E5B">
            <w:pPr>
              <w:rPr>
                <w:rFonts w:ascii="Arial" w:hAnsi="Arial" w:cs="Arial"/>
                <w:sz w:val="24"/>
                <w:szCs w:val="24"/>
              </w:rPr>
            </w:pPr>
            <w:r>
              <w:rPr>
                <w:rFonts w:ascii="Arial" w:hAnsi="Arial" w:cs="Arial"/>
                <w:sz w:val="24"/>
                <w:szCs w:val="24"/>
              </w:rPr>
              <w:t>Qu’à</w:t>
            </w:r>
            <w:r w:rsidR="008A6EE6">
              <w:rPr>
                <w:rFonts w:ascii="Arial" w:hAnsi="Arial" w:cs="Arial"/>
                <w:sz w:val="24"/>
                <w:szCs w:val="24"/>
              </w:rPr>
              <w:t xml:space="preserve"> ce jour, cette procédure est encore pendante devant le tribunal de Konni et sans attendre l’issue de cette procédure, Ibrahim Alhassane </w:t>
            </w:r>
            <w:r w:rsidR="00915343">
              <w:rPr>
                <w:rFonts w:ascii="Arial" w:hAnsi="Arial" w:cs="Arial"/>
                <w:sz w:val="24"/>
                <w:szCs w:val="24"/>
              </w:rPr>
              <w:t>vient d’assigner à nouveau devant le tribunal de céans pour s’entendre ordonner la restitution dub titre foncier objet de la procédure de saisie immobilière entreprise devant le tribunal de Konni ;</w:t>
            </w:r>
          </w:p>
          <w:p w:rsidR="00915343" w:rsidRDefault="00915343" w:rsidP="00DB7E5B">
            <w:pPr>
              <w:rPr>
                <w:rFonts w:ascii="Arial" w:hAnsi="Arial" w:cs="Arial"/>
                <w:sz w:val="24"/>
                <w:szCs w:val="24"/>
              </w:rPr>
            </w:pPr>
            <w:r>
              <w:rPr>
                <w:rFonts w:ascii="Arial" w:hAnsi="Arial" w:cs="Arial"/>
                <w:sz w:val="24"/>
                <w:szCs w:val="24"/>
              </w:rPr>
              <w:t xml:space="preserve">Que cette assignation est postérieure à la saisine du tribunal de </w:t>
            </w:r>
            <w:r w:rsidR="00B53CA5">
              <w:rPr>
                <w:rFonts w:ascii="Arial" w:hAnsi="Arial" w:cs="Arial"/>
                <w:sz w:val="24"/>
                <w:szCs w:val="24"/>
              </w:rPr>
              <w:t xml:space="preserve">céans et que la demande est intimement liée  à la cause pendante devant le tribunal de </w:t>
            </w:r>
            <w:proofErr w:type="spellStart"/>
            <w:r w:rsidR="00B53CA5">
              <w:rPr>
                <w:rFonts w:ascii="Arial" w:hAnsi="Arial" w:cs="Arial"/>
                <w:sz w:val="24"/>
                <w:szCs w:val="24"/>
              </w:rPr>
              <w:t>Konni</w:t>
            </w:r>
            <w:proofErr w:type="spellEnd"/>
            <w:r w:rsidR="00B53CA5">
              <w:rPr>
                <w:rFonts w:ascii="Arial" w:hAnsi="Arial" w:cs="Arial"/>
                <w:sz w:val="24"/>
                <w:szCs w:val="24"/>
              </w:rPr>
              <w:t xml:space="preserve"> entre les mêmes parties ainsi que le même objet</w:t>
            </w:r>
            <w:r>
              <w:rPr>
                <w:rFonts w:ascii="Arial" w:hAnsi="Arial" w:cs="Arial"/>
                <w:sz w:val="24"/>
                <w:szCs w:val="24"/>
              </w:rPr>
              <w:t> ;</w:t>
            </w:r>
          </w:p>
          <w:p w:rsidR="00323A21" w:rsidRDefault="008C3393" w:rsidP="00DB7E5B">
            <w:pPr>
              <w:rPr>
                <w:rFonts w:ascii="Arial" w:hAnsi="Arial" w:cs="Arial"/>
                <w:sz w:val="24"/>
                <w:szCs w:val="24"/>
              </w:rPr>
            </w:pPr>
            <w:r>
              <w:rPr>
                <w:rFonts w:ascii="Arial" w:hAnsi="Arial" w:cs="Arial"/>
                <w:sz w:val="24"/>
                <w:szCs w:val="24"/>
              </w:rPr>
              <w:t>Qu’il</w:t>
            </w:r>
            <w:r w:rsidR="00323A21">
              <w:rPr>
                <w:rFonts w:ascii="Arial" w:hAnsi="Arial" w:cs="Arial"/>
                <w:sz w:val="24"/>
                <w:szCs w:val="24"/>
              </w:rPr>
              <w:t xml:space="preserve"> résulte</w:t>
            </w:r>
            <w:r>
              <w:rPr>
                <w:rFonts w:ascii="Arial" w:hAnsi="Arial" w:cs="Arial"/>
                <w:sz w:val="24"/>
                <w:szCs w:val="24"/>
              </w:rPr>
              <w:t xml:space="preserve"> au surplus</w:t>
            </w:r>
            <w:r w:rsidR="00323A21">
              <w:rPr>
                <w:rFonts w:ascii="Arial" w:hAnsi="Arial" w:cs="Arial"/>
                <w:sz w:val="24"/>
                <w:szCs w:val="24"/>
              </w:rPr>
              <w:t xml:space="preserve"> de l’article 300 de l’Acte Uniforme portant sur les procédures de recouvrement et les voies d’exécution que le juge des criés est compétent pour connaître des contestations sur le principe même de la créance ;</w:t>
            </w:r>
          </w:p>
          <w:p w:rsidR="00940543" w:rsidRDefault="00940543" w:rsidP="00DB7E5B">
            <w:pPr>
              <w:rPr>
                <w:rFonts w:ascii="Arial" w:hAnsi="Arial" w:cs="Arial"/>
                <w:sz w:val="24"/>
                <w:szCs w:val="24"/>
              </w:rPr>
            </w:pPr>
            <w:r>
              <w:rPr>
                <w:rFonts w:ascii="Arial" w:hAnsi="Arial" w:cs="Arial"/>
                <w:sz w:val="24"/>
                <w:szCs w:val="24"/>
              </w:rPr>
              <w:t xml:space="preserve">Qu’il </w:t>
            </w:r>
            <w:r w:rsidR="008712D0">
              <w:rPr>
                <w:rFonts w:ascii="Arial" w:hAnsi="Arial" w:cs="Arial"/>
                <w:sz w:val="24"/>
                <w:szCs w:val="24"/>
              </w:rPr>
              <w:t>Ya dès lors aussi bien litispendance que connexité ;</w:t>
            </w:r>
          </w:p>
          <w:p w:rsidR="00323A21" w:rsidRPr="00064694" w:rsidRDefault="00C42E88" w:rsidP="00DB7E5B">
            <w:pPr>
              <w:rPr>
                <w:rFonts w:ascii="Arial" w:hAnsi="Arial" w:cs="Arial"/>
                <w:b/>
                <w:sz w:val="24"/>
                <w:szCs w:val="24"/>
                <w:u w:val="single"/>
              </w:rPr>
            </w:pPr>
            <w:r>
              <w:rPr>
                <w:rFonts w:ascii="Arial" w:hAnsi="Arial" w:cs="Arial"/>
                <w:sz w:val="24"/>
                <w:szCs w:val="24"/>
              </w:rPr>
              <w:t>Qu’il s’ensuit que dans l’intérêt d’une bonne administration de la justice, de se dessaisir au profit du Tribunal de Grande Instance de Konni préalablement saisi ;</w:t>
            </w:r>
          </w:p>
          <w:p w:rsidR="00F4050B" w:rsidRPr="00376F5F" w:rsidRDefault="00F4050B" w:rsidP="00691EC3">
            <w:pPr>
              <w:jc w:val="center"/>
              <w:rPr>
                <w:rFonts w:ascii="Arial" w:hAnsi="Arial" w:cs="Arial"/>
                <w:b/>
                <w:sz w:val="24"/>
                <w:szCs w:val="24"/>
                <w:u w:val="single"/>
              </w:rPr>
            </w:pPr>
            <w:r w:rsidRPr="00376F5F">
              <w:rPr>
                <w:rFonts w:ascii="Arial" w:hAnsi="Arial" w:cs="Arial"/>
                <w:b/>
                <w:sz w:val="24"/>
                <w:szCs w:val="24"/>
                <w:u w:val="single"/>
              </w:rPr>
              <w:t>PAR CES MOTIFS</w:t>
            </w:r>
          </w:p>
          <w:p w:rsidR="00F4050B" w:rsidRPr="00376F5F" w:rsidRDefault="00F4050B" w:rsidP="00691EC3">
            <w:pPr>
              <w:jc w:val="center"/>
              <w:rPr>
                <w:rFonts w:ascii="Arial" w:hAnsi="Arial" w:cs="Arial"/>
                <w:sz w:val="24"/>
                <w:szCs w:val="24"/>
              </w:rPr>
            </w:pPr>
            <w:r w:rsidRPr="00376F5F">
              <w:rPr>
                <w:rFonts w:ascii="Arial" w:hAnsi="Arial" w:cs="Arial"/>
                <w:b/>
                <w:sz w:val="24"/>
                <w:szCs w:val="24"/>
                <w:u w:val="single"/>
              </w:rPr>
              <w:t>LE TRIBUNAL</w:t>
            </w:r>
          </w:p>
          <w:p w:rsidR="00F4050B" w:rsidRPr="009927EB" w:rsidRDefault="00F4050B" w:rsidP="009927EB">
            <w:pPr>
              <w:pStyle w:val="Paragraphedeliste"/>
              <w:numPr>
                <w:ilvl w:val="0"/>
                <w:numId w:val="2"/>
              </w:numPr>
              <w:rPr>
                <w:rFonts w:ascii="Arial" w:hAnsi="Arial" w:cs="Arial"/>
                <w:sz w:val="24"/>
                <w:szCs w:val="24"/>
              </w:rPr>
            </w:pPr>
            <w:r w:rsidRPr="009927EB">
              <w:rPr>
                <w:rFonts w:ascii="Arial" w:hAnsi="Arial" w:cs="Arial"/>
                <w:sz w:val="24"/>
                <w:szCs w:val="24"/>
              </w:rPr>
              <w:t>Statuant publiquement,  contradictoirement  en 1</w:t>
            </w:r>
            <w:r w:rsidRPr="009927EB">
              <w:rPr>
                <w:rFonts w:ascii="Arial" w:hAnsi="Arial" w:cs="Arial"/>
                <w:sz w:val="24"/>
                <w:szCs w:val="24"/>
                <w:vertAlign w:val="superscript"/>
              </w:rPr>
              <w:t>er</w:t>
            </w:r>
            <w:r w:rsidRPr="009927EB">
              <w:rPr>
                <w:rFonts w:ascii="Arial" w:hAnsi="Arial" w:cs="Arial"/>
                <w:sz w:val="24"/>
                <w:szCs w:val="24"/>
              </w:rPr>
              <w:t xml:space="preserve"> ressort ;</w:t>
            </w:r>
          </w:p>
          <w:p w:rsidR="00F4050B" w:rsidRPr="009927EB" w:rsidRDefault="00DD1844" w:rsidP="009927EB">
            <w:pPr>
              <w:pStyle w:val="Paragraphedeliste"/>
              <w:numPr>
                <w:ilvl w:val="0"/>
                <w:numId w:val="2"/>
              </w:numPr>
              <w:rPr>
                <w:rFonts w:ascii="Arial" w:hAnsi="Arial" w:cs="Arial"/>
                <w:sz w:val="24"/>
                <w:szCs w:val="24"/>
              </w:rPr>
            </w:pPr>
            <w:r w:rsidRPr="009927EB">
              <w:rPr>
                <w:rFonts w:ascii="Arial" w:hAnsi="Arial" w:cs="Arial"/>
                <w:sz w:val="24"/>
                <w:szCs w:val="24"/>
              </w:rPr>
              <w:t>Se d</w:t>
            </w:r>
            <w:r w:rsidR="00F4050B" w:rsidRPr="009927EB">
              <w:rPr>
                <w:rFonts w:ascii="Arial" w:hAnsi="Arial" w:cs="Arial"/>
                <w:sz w:val="24"/>
                <w:szCs w:val="24"/>
              </w:rPr>
              <w:t xml:space="preserve">éclare </w:t>
            </w:r>
            <w:r w:rsidRPr="009927EB">
              <w:rPr>
                <w:rFonts w:ascii="Arial" w:hAnsi="Arial" w:cs="Arial"/>
                <w:sz w:val="24"/>
                <w:szCs w:val="24"/>
              </w:rPr>
              <w:t>compétent</w:t>
            </w:r>
          </w:p>
          <w:p w:rsidR="00F4050B" w:rsidRPr="009927EB" w:rsidRDefault="00F4050B" w:rsidP="009927EB">
            <w:pPr>
              <w:pStyle w:val="Paragraphedeliste"/>
              <w:numPr>
                <w:ilvl w:val="0"/>
                <w:numId w:val="2"/>
              </w:numPr>
              <w:rPr>
                <w:rFonts w:ascii="Arial" w:hAnsi="Arial" w:cs="Arial"/>
                <w:sz w:val="24"/>
                <w:szCs w:val="24"/>
              </w:rPr>
            </w:pPr>
            <w:r w:rsidRPr="009927EB">
              <w:rPr>
                <w:rFonts w:ascii="Arial" w:hAnsi="Arial" w:cs="Arial"/>
                <w:sz w:val="24"/>
                <w:szCs w:val="24"/>
              </w:rPr>
              <w:t>Déclare</w:t>
            </w:r>
            <w:r w:rsidR="00DD1844" w:rsidRPr="009927EB">
              <w:rPr>
                <w:rFonts w:ascii="Arial" w:hAnsi="Arial" w:cs="Arial"/>
                <w:sz w:val="24"/>
                <w:szCs w:val="24"/>
              </w:rPr>
              <w:t xml:space="preserve"> irrecevable la requête la requête de IBRAHIM </w:t>
            </w:r>
            <w:r w:rsidR="00DD1844" w:rsidRPr="009927EB">
              <w:rPr>
                <w:rFonts w:ascii="Arial" w:hAnsi="Arial" w:cs="Arial"/>
                <w:sz w:val="24"/>
                <w:szCs w:val="24"/>
              </w:rPr>
              <w:lastRenderedPageBreak/>
              <w:t>ALASSANE pour cause de connexité et de litispendance et se de</w:t>
            </w:r>
            <w:r w:rsidR="00CE363F" w:rsidRPr="009927EB">
              <w:rPr>
                <w:rFonts w:ascii="Arial" w:hAnsi="Arial" w:cs="Arial"/>
                <w:sz w:val="24"/>
                <w:szCs w:val="24"/>
              </w:rPr>
              <w:t>ssaisit</w:t>
            </w:r>
            <w:r w:rsidR="00DD1844" w:rsidRPr="009927EB">
              <w:rPr>
                <w:rFonts w:ascii="Arial" w:hAnsi="Arial" w:cs="Arial"/>
                <w:sz w:val="24"/>
                <w:szCs w:val="24"/>
              </w:rPr>
              <w:t xml:space="preserve"> au profit du Tribunal de grande Instance de Konni préalablement saisi </w:t>
            </w:r>
            <w:r w:rsidRPr="009927EB">
              <w:rPr>
                <w:rFonts w:ascii="Arial" w:hAnsi="Arial" w:cs="Arial"/>
                <w:sz w:val="24"/>
                <w:szCs w:val="24"/>
              </w:rPr>
              <w:t>;</w:t>
            </w:r>
          </w:p>
          <w:p w:rsidR="00DD1844" w:rsidRPr="009927EB" w:rsidRDefault="00DD1844" w:rsidP="009927EB">
            <w:pPr>
              <w:pStyle w:val="Paragraphedeliste"/>
              <w:numPr>
                <w:ilvl w:val="0"/>
                <w:numId w:val="2"/>
              </w:numPr>
              <w:rPr>
                <w:rFonts w:ascii="Arial" w:hAnsi="Arial" w:cs="Arial"/>
                <w:sz w:val="24"/>
                <w:szCs w:val="24"/>
              </w:rPr>
            </w:pPr>
            <w:r w:rsidRPr="009927EB">
              <w:rPr>
                <w:rFonts w:ascii="Arial" w:hAnsi="Arial" w:cs="Arial"/>
                <w:sz w:val="24"/>
                <w:szCs w:val="24"/>
              </w:rPr>
              <w:t>Condamne les Etablissement</w:t>
            </w:r>
            <w:r w:rsidR="00D77ABA" w:rsidRPr="009927EB">
              <w:rPr>
                <w:rFonts w:ascii="Arial" w:hAnsi="Arial" w:cs="Arial"/>
                <w:sz w:val="24"/>
                <w:szCs w:val="24"/>
              </w:rPr>
              <w:t xml:space="preserve"> Alassane  aux dépens </w:t>
            </w:r>
          </w:p>
          <w:p w:rsidR="00D77ABA" w:rsidRPr="009927EB" w:rsidRDefault="00D77ABA" w:rsidP="009927EB">
            <w:pPr>
              <w:pStyle w:val="Paragraphedeliste"/>
              <w:numPr>
                <w:ilvl w:val="0"/>
                <w:numId w:val="2"/>
              </w:numPr>
              <w:rPr>
                <w:rFonts w:ascii="Arial" w:hAnsi="Arial" w:cs="Arial"/>
                <w:sz w:val="24"/>
                <w:szCs w:val="24"/>
              </w:rPr>
            </w:pPr>
            <w:r w:rsidRPr="009927EB">
              <w:rPr>
                <w:rFonts w:ascii="Arial" w:hAnsi="Arial" w:cs="Arial"/>
                <w:sz w:val="24"/>
                <w:szCs w:val="24"/>
              </w:rPr>
              <w:t xml:space="preserve">Avise les parties qu’elles disposent de huit (8) jours à compter du prononcé de la </w:t>
            </w:r>
            <w:r w:rsidR="007E0BC2" w:rsidRPr="009927EB">
              <w:rPr>
                <w:rFonts w:ascii="Arial" w:hAnsi="Arial" w:cs="Arial"/>
                <w:sz w:val="24"/>
                <w:szCs w:val="24"/>
              </w:rPr>
              <w:t>présente</w:t>
            </w:r>
            <w:r w:rsidRPr="009927EB">
              <w:rPr>
                <w:rFonts w:ascii="Arial" w:hAnsi="Arial" w:cs="Arial"/>
                <w:sz w:val="24"/>
                <w:szCs w:val="24"/>
              </w:rPr>
              <w:t xml:space="preserve"> </w:t>
            </w:r>
            <w:r w:rsidR="007E0BC2" w:rsidRPr="009927EB">
              <w:rPr>
                <w:rFonts w:ascii="Arial" w:hAnsi="Arial" w:cs="Arial"/>
                <w:sz w:val="24"/>
                <w:szCs w:val="24"/>
              </w:rPr>
              <w:t>décision</w:t>
            </w:r>
            <w:r w:rsidRPr="009927EB">
              <w:rPr>
                <w:rFonts w:ascii="Arial" w:hAnsi="Arial" w:cs="Arial"/>
                <w:sz w:val="24"/>
                <w:szCs w:val="24"/>
              </w:rPr>
              <w:t xml:space="preserve"> pour </w:t>
            </w:r>
            <w:r w:rsidR="007E0BC2" w:rsidRPr="009927EB">
              <w:rPr>
                <w:rFonts w:ascii="Arial" w:hAnsi="Arial" w:cs="Arial"/>
                <w:sz w:val="24"/>
                <w:szCs w:val="24"/>
              </w:rPr>
              <w:t xml:space="preserve">interjeter appel par </w:t>
            </w:r>
            <w:r w:rsidR="0024534D" w:rsidRPr="009927EB">
              <w:rPr>
                <w:rFonts w:ascii="Arial" w:hAnsi="Arial" w:cs="Arial"/>
                <w:sz w:val="24"/>
                <w:szCs w:val="24"/>
              </w:rPr>
              <w:t>dépôt</w:t>
            </w:r>
            <w:r w:rsidR="007E0BC2" w:rsidRPr="009927EB">
              <w:rPr>
                <w:rFonts w:ascii="Arial" w:hAnsi="Arial" w:cs="Arial"/>
                <w:sz w:val="24"/>
                <w:szCs w:val="24"/>
              </w:rPr>
              <w:t xml:space="preserve"> d’acte  au greffe.</w:t>
            </w:r>
          </w:p>
          <w:p w:rsidR="00F4050B" w:rsidRPr="009927EB" w:rsidRDefault="00F4050B" w:rsidP="009927EB">
            <w:pPr>
              <w:rPr>
                <w:rFonts w:ascii="Arial" w:hAnsi="Arial" w:cs="Arial"/>
                <w:sz w:val="24"/>
                <w:szCs w:val="24"/>
              </w:rPr>
            </w:pPr>
            <w:r w:rsidRPr="009927EB">
              <w:rPr>
                <w:rFonts w:ascii="Arial" w:hAnsi="Arial" w:cs="Arial"/>
                <w:sz w:val="24"/>
                <w:szCs w:val="24"/>
              </w:rPr>
              <w:t>Ainsi fait, jugé et prononcé publiquement les jours, mois et an que dessus.</w:t>
            </w:r>
          </w:p>
          <w:p w:rsidR="00F4050B" w:rsidRPr="00666F73" w:rsidRDefault="00F4050B" w:rsidP="00ED22F1">
            <w:pPr>
              <w:jc w:val="center"/>
              <w:rPr>
                <w:rFonts w:ascii="Arial" w:hAnsi="Arial" w:cs="Arial"/>
                <w:sz w:val="24"/>
                <w:szCs w:val="24"/>
              </w:rPr>
            </w:pPr>
            <w:r w:rsidRPr="00666F73">
              <w:rPr>
                <w:rFonts w:ascii="Arial" w:hAnsi="Arial" w:cs="Arial"/>
                <w:sz w:val="24"/>
                <w:szCs w:val="24"/>
              </w:rPr>
              <w:t>Et ont signé.</w:t>
            </w:r>
          </w:p>
          <w:p w:rsidR="00ED22F1" w:rsidRDefault="00ED22F1" w:rsidP="00ED22F1">
            <w:pPr>
              <w:jc w:val="center"/>
              <w:rPr>
                <w:rFonts w:asciiTheme="majorHAnsi" w:hAnsiTheme="majorHAnsi" w:cstheme="majorBidi"/>
                <w:b/>
                <w:sz w:val="28"/>
                <w:szCs w:val="28"/>
              </w:rPr>
            </w:pPr>
            <w:r>
              <w:rPr>
                <w:rFonts w:asciiTheme="majorHAnsi" w:hAnsiTheme="majorHAnsi" w:cstheme="majorBidi"/>
                <w:b/>
                <w:sz w:val="28"/>
                <w:szCs w:val="28"/>
              </w:rPr>
              <w:t>Suivent les signatures du Président et de la Greffière</w:t>
            </w:r>
          </w:p>
          <w:p w:rsidR="00ED22F1" w:rsidRDefault="00ED22F1" w:rsidP="00ED22F1">
            <w:pPr>
              <w:jc w:val="center"/>
              <w:rPr>
                <w:rFonts w:asciiTheme="minorHAnsi" w:hAnsiTheme="minorHAnsi" w:cstheme="minorBidi"/>
                <w:b/>
                <w:sz w:val="28"/>
                <w:szCs w:val="28"/>
                <w:u w:val="single"/>
              </w:rPr>
            </w:pPr>
            <w:r>
              <w:rPr>
                <w:b/>
                <w:sz w:val="28"/>
                <w:szCs w:val="28"/>
                <w:u w:val="single"/>
              </w:rPr>
              <w:t>Pour Expédition Certifiée Conforme</w:t>
            </w:r>
          </w:p>
          <w:p w:rsidR="00ED22F1" w:rsidRDefault="008C38A1" w:rsidP="00ED22F1">
            <w:pPr>
              <w:jc w:val="center"/>
              <w:rPr>
                <w:b/>
                <w:sz w:val="28"/>
                <w:szCs w:val="28"/>
                <w:u w:val="single"/>
              </w:rPr>
            </w:pPr>
            <w:r>
              <w:rPr>
                <w:b/>
                <w:sz w:val="28"/>
                <w:szCs w:val="28"/>
                <w:u w:val="single"/>
              </w:rPr>
              <w:t xml:space="preserve">Niamey le </w:t>
            </w:r>
            <w:r w:rsidR="00A50224">
              <w:rPr>
                <w:b/>
                <w:sz w:val="28"/>
                <w:szCs w:val="28"/>
                <w:u w:val="single"/>
              </w:rPr>
              <w:t>13 Mars 2018</w:t>
            </w:r>
          </w:p>
          <w:p w:rsidR="00ED22F1" w:rsidRDefault="00ED22F1" w:rsidP="00ED22F1">
            <w:pPr>
              <w:jc w:val="center"/>
              <w:rPr>
                <w:b/>
                <w:sz w:val="28"/>
                <w:szCs w:val="28"/>
                <w:u w:val="single"/>
              </w:rPr>
            </w:pPr>
            <w:r>
              <w:rPr>
                <w:b/>
                <w:sz w:val="28"/>
                <w:szCs w:val="28"/>
                <w:u w:val="single"/>
              </w:rPr>
              <w:t>Le Greffier en Chef</w:t>
            </w:r>
          </w:p>
          <w:p w:rsidR="00ED22F1" w:rsidRDefault="00ED22F1" w:rsidP="00ED22F1">
            <w:pPr>
              <w:rPr>
                <w:rFonts w:asciiTheme="majorHAnsi" w:hAnsiTheme="majorHAnsi"/>
                <w:sz w:val="28"/>
                <w:szCs w:val="28"/>
              </w:rPr>
            </w:pPr>
          </w:p>
          <w:p w:rsidR="00F4050B" w:rsidRPr="00376F5F" w:rsidRDefault="00F4050B" w:rsidP="00691EC3">
            <w:pPr>
              <w:rPr>
                <w:rFonts w:ascii="Arial" w:hAnsi="Arial" w:cs="Arial"/>
                <w:sz w:val="24"/>
                <w:szCs w:val="24"/>
              </w:rPr>
            </w:pPr>
          </w:p>
          <w:p w:rsidR="00F4050B" w:rsidRPr="00376F5F" w:rsidRDefault="00F4050B" w:rsidP="00691EC3">
            <w:pPr>
              <w:pStyle w:val="Paragraphedeliste"/>
              <w:rPr>
                <w:rFonts w:ascii="Arial" w:hAnsi="Arial" w:cs="Arial"/>
                <w:sz w:val="24"/>
                <w:szCs w:val="24"/>
              </w:rPr>
            </w:pPr>
          </w:p>
          <w:p w:rsidR="00F4050B" w:rsidRPr="00376F5F" w:rsidRDefault="00F4050B" w:rsidP="00691EC3">
            <w:pPr>
              <w:rPr>
                <w:rFonts w:ascii="Arial" w:hAnsi="Arial" w:cs="Arial"/>
                <w:sz w:val="24"/>
                <w:szCs w:val="24"/>
              </w:rPr>
            </w:pPr>
          </w:p>
        </w:tc>
      </w:tr>
      <w:tr w:rsidR="00DB7E5B" w:rsidRPr="00376F5F" w:rsidTr="00691EC3">
        <w:tc>
          <w:tcPr>
            <w:tcW w:w="3120" w:type="dxa"/>
            <w:tcBorders>
              <w:top w:val="nil"/>
              <w:left w:val="nil"/>
              <w:bottom w:val="nil"/>
              <w:right w:val="single" w:sz="4" w:space="0" w:color="000000"/>
            </w:tcBorders>
          </w:tcPr>
          <w:p w:rsidR="00DB7E5B" w:rsidRPr="00376F5F" w:rsidRDefault="00DB7E5B" w:rsidP="00691EC3">
            <w:pPr>
              <w:spacing w:line="240" w:lineRule="auto"/>
              <w:jc w:val="center"/>
              <w:rPr>
                <w:rFonts w:ascii="Arial" w:eastAsia="Arial Unicode MS" w:hAnsi="Arial" w:cs="Arial"/>
                <w:b/>
                <w:sz w:val="24"/>
                <w:szCs w:val="24"/>
              </w:rPr>
            </w:pPr>
          </w:p>
        </w:tc>
        <w:tc>
          <w:tcPr>
            <w:tcW w:w="6945" w:type="dxa"/>
            <w:tcBorders>
              <w:top w:val="nil"/>
              <w:left w:val="single" w:sz="4" w:space="0" w:color="000000"/>
              <w:bottom w:val="nil"/>
              <w:right w:val="nil"/>
            </w:tcBorders>
          </w:tcPr>
          <w:p w:rsidR="00DB7E5B" w:rsidRPr="00376F5F" w:rsidRDefault="00DB7E5B" w:rsidP="00691EC3">
            <w:pPr>
              <w:spacing w:line="240" w:lineRule="auto"/>
              <w:jc w:val="both"/>
              <w:rPr>
                <w:rFonts w:ascii="Arial" w:eastAsia="Arial Unicode MS" w:hAnsi="Arial" w:cs="Arial"/>
                <w:b/>
                <w:sz w:val="24"/>
                <w:szCs w:val="24"/>
                <w:u w:val="single"/>
              </w:rPr>
            </w:pPr>
          </w:p>
        </w:tc>
      </w:tr>
    </w:tbl>
    <w:p w:rsidR="009D6D45" w:rsidRDefault="00A50224"/>
    <w:sectPr w:rsidR="009D6D45" w:rsidSect="00B35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56783"/>
    <w:multiLevelType w:val="hybridMultilevel"/>
    <w:tmpl w:val="6E5A0A26"/>
    <w:lvl w:ilvl="0" w:tplc="B3485B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04C62D8"/>
    <w:multiLevelType w:val="hybridMultilevel"/>
    <w:tmpl w:val="01381E5E"/>
    <w:lvl w:ilvl="0" w:tplc="5798C4D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A08B2"/>
    <w:rsid w:val="00000E6E"/>
    <w:rsid w:val="00037BB2"/>
    <w:rsid w:val="00064694"/>
    <w:rsid w:val="000943CC"/>
    <w:rsid w:val="000F0377"/>
    <w:rsid w:val="00155937"/>
    <w:rsid w:val="00156E2B"/>
    <w:rsid w:val="001641F9"/>
    <w:rsid w:val="00171A66"/>
    <w:rsid w:val="0018662B"/>
    <w:rsid w:val="0019086E"/>
    <w:rsid w:val="001D620D"/>
    <w:rsid w:val="001E30B6"/>
    <w:rsid w:val="00244069"/>
    <w:rsid w:val="0024534D"/>
    <w:rsid w:val="002857BE"/>
    <w:rsid w:val="002A2636"/>
    <w:rsid w:val="002A2F28"/>
    <w:rsid w:val="00304A7D"/>
    <w:rsid w:val="00323A21"/>
    <w:rsid w:val="003873E5"/>
    <w:rsid w:val="003937BB"/>
    <w:rsid w:val="003B5C89"/>
    <w:rsid w:val="003B625A"/>
    <w:rsid w:val="003D0061"/>
    <w:rsid w:val="003D4B83"/>
    <w:rsid w:val="003F2D2A"/>
    <w:rsid w:val="00451BC3"/>
    <w:rsid w:val="00454F15"/>
    <w:rsid w:val="00477DDD"/>
    <w:rsid w:val="004E2C54"/>
    <w:rsid w:val="004F0184"/>
    <w:rsid w:val="005332FA"/>
    <w:rsid w:val="00573161"/>
    <w:rsid w:val="005D40E0"/>
    <w:rsid w:val="005F2375"/>
    <w:rsid w:val="006609C6"/>
    <w:rsid w:val="00666F73"/>
    <w:rsid w:val="0067293C"/>
    <w:rsid w:val="006D7F24"/>
    <w:rsid w:val="006F59EE"/>
    <w:rsid w:val="00713DCB"/>
    <w:rsid w:val="00720888"/>
    <w:rsid w:val="0073262D"/>
    <w:rsid w:val="007960A5"/>
    <w:rsid w:val="007A08B2"/>
    <w:rsid w:val="007A6AE3"/>
    <w:rsid w:val="007B3AF8"/>
    <w:rsid w:val="007B6C4F"/>
    <w:rsid w:val="007E0BC2"/>
    <w:rsid w:val="007E1B57"/>
    <w:rsid w:val="008464ED"/>
    <w:rsid w:val="008712D0"/>
    <w:rsid w:val="008A6EE6"/>
    <w:rsid w:val="008C3393"/>
    <w:rsid w:val="008C38A1"/>
    <w:rsid w:val="008E6911"/>
    <w:rsid w:val="0090724A"/>
    <w:rsid w:val="00915343"/>
    <w:rsid w:val="00940543"/>
    <w:rsid w:val="009510B9"/>
    <w:rsid w:val="00965682"/>
    <w:rsid w:val="00970DB2"/>
    <w:rsid w:val="009927EB"/>
    <w:rsid w:val="009C110E"/>
    <w:rsid w:val="009F57E5"/>
    <w:rsid w:val="00A36584"/>
    <w:rsid w:val="00A50224"/>
    <w:rsid w:val="00A77DB6"/>
    <w:rsid w:val="00A84D90"/>
    <w:rsid w:val="00A903E8"/>
    <w:rsid w:val="00A91A41"/>
    <w:rsid w:val="00AA3183"/>
    <w:rsid w:val="00AB2F75"/>
    <w:rsid w:val="00B07149"/>
    <w:rsid w:val="00B22F8A"/>
    <w:rsid w:val="00B34C35"/>
    <w:rsid w:val="00B3536A"/>
    <w:rsid w:val="00B53CA5"/>
    <w:rsid w:val="00B601F0"/>
    <w:rsid w:val="00B6430A"/>
    <w:rsid w:val="00C42E88"/>
    <w:rsid w:val="00C85B9A"/>
    <w:rsid w:val="00CA7ECC"/>
    <w:rsid w:val="00CE363F"/>
    <w:rsid w:val="00D263A4"/>
    <w:rsid w:val="00D433C9"/>
    <w:rsid w:val="00D62B24"/>
    <w:rsid w:val="00D77ABA"/>
    <w:rsid w:val="00D87154"/>
    <w:rsid w:val="00DB37C7"/>
    <w:rsid w:val="00DB628A"/>
    <w:rsid w:val="00DB7E5B"/>
    <w:rsid w:val="00DD1844"/>
    <w:rsid w:val="00DD4D7F"/>
    <w:rsid w:val="00DF2BA0"/>
    <w:rsid w:val="00DF3273"/>
    <w:rsid w:val="00E11C8D"/>
    <w:rsid w:val="00EB0EEB"/>
    <w:rsid w:val="00ED1042"/>
    <w:rsid w:val="00ED22F1"/>
    <w:rsid w:val="00F33836"/>
    <w:rsid w:val="00F3798D"/>
    <w:rsid w:val="00F4050B"/>
    <w:rsid w:val="00F65869"/>
    <w:rsid w:val="00F85230"/>
    <w:rsid w:val="00FC49ED"/>
    <w:rsid w:val="00FE3B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09587-F92B-4731-B227-470CDAFE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50B"/>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050B"/>
    <w:pPr>
      <w:ind w:left="720"/>
      <w:contextualSpacing/>
    </w:pPr>
  </w:style>
  <w:style w:type="paragraph" w:styleId="Textedebulles">
    <w:name w:val="Balloon Text"/>
    <w:basedOn w:val="Normal"/>
    <w:link w:val="TextedebullesCar"/>
    <w:uiPriority w:val="99"/>
    <w:semiHidden/>
    <w:unhideWhenUsed/>
    <w:rsid w:val="00A502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0224"/>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0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9</Pages>
  <Words>2585</Words>
  <Characters>14220</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94</cp:revision>
  <cp:lastPrinted>2018-03-13T13:09:00Z</cp:lastPrinted>
  <dcterms:created xsi:type="dcterms:W3CDTF">2017-11-09T10:30:00Z</dcterms:created>
  <dcterms:modified xsi:type="dcterms:W3CDTF">2018-03-13T13:10:00Z</dcterms:modified>
</cp:coreProperties>
</file>